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9CA3" w14:textId="77777777" w:rsidR="005D35FB" w:rsidRDefault="005D35FB" w:rsidP="006639EF">
      <w:pPr>
        <w:spacing w:after="360" w:line="240" w:lineRule="auto"/>
        <w:ind w:left="1145" w:hanging="357"/>
        <w:jc w:val="center"/>
        <w:rPr>
          <w:rFonts w:ascii="Arial" w:hAnsi="Arial" w:cs="Arial"/>
          <w:b/>
          <w:sz w:val="24"/>
          <w:szCs w:val="24"/>
        </w:rPr>
      </w:pPr>
    </w:p>
    <w:p w14:paraId="66DA3FFE" w14:textId="1B014DC1" w:rsidR="00623B09" w:rsidRDefault="00623B09" w:rsidP="006639EF">
      <w:pPr>
        <w:spacing w:after="360" w:line="240" w:lineRule="auto"/>
        <w:ind w:left="1145" w:hanging="357"/>
        <w:jc w:val="center"/>
        <w:rPr>
          <w:rFonts w:ascii="Arial" w:hAnsi="Arial" w:cs="Arial"/>
          <w:b/>
          <w:sz w:val="24"/>
          <w:szCs w:val="24"/>
        </w:rPr>
      </w:pPr>
      <w:bookmarkStart w:id="0" w:name="_GoBack"/>
      <w:bookmarkEnd w:id="0"/>
      <w:r>
        <w:rPr>
          <w:rFonts w:ascii="Arial" w:hAnsi="Arial" w:cs="Arial"/>
          <w:b/>
          <w:sz w:val="24"/>
          <w:szCs w:val="24"/>
        </w:rPr>
        <w:t>Appendix One</w:t>
      </w:r>
    </w:p>
    <w:p w14:paraId="306CACB6" w14:textId="41153D37" w:rsidR="005F5F13" w:rsidRPr="00EE2344" w:rsidRDefault="005F5F13" w:rsidP="006639EF">
      <w:pPr>
        <w:spacing w:after="360" w:line="240" w:lineRule="auto"/>
        <w:ind w:left="1145" w:hanging="357"/>
        <w:jc w:val="center"/>
        <w:rPr>
          <w:rFonts w:ascii="Arial" w:hAnsi="Arial" w:cs="Arial"/>
          <w:b/>
          <w:sz w:val="24"/>
          <w:szCs w:val="24"/>
        </w:rPr>
      </w:pPr>
      <w:r w:rsidRPr="00EE2344">
        <w:rPr>
          <w:rFonts w:ascii="Arial" w:hAnsi="Arial" w:cs="Arial"/>
          <w:b/>
          <w:sz w:val="24"/>
          <w:szCs w:val="24"/>
        </w:rPr>
        <w:t>Terms of Reference</w:t>
      </w:r>
      <w:r w:rsidRPr="00EE2344">
        <w:rPr>
          <w:rStyle w:val="FootnoteReference"/>
          <w:rFonts w:ascii="Arial" w:hAnsi="Arial" w:cs="Arial"/>
          <w:b/>
          <w:sz w:val="24"/>
          <w:szCs w:val="24"/>
        </w:rPr>
        <w:footnoteReference w:id="1"/>
      </w:r>
    </w:p>
    <w:p w14:paraId="542A828E" w14:textId="77777777" w:rsidR="005F5F13" w:rsidRPr="00EE2344" w:rsidRDefault="005F5F13" w:rsidP="006639EF">
      <w:pPr>
        <w:spacing w:after="360" w:line="240" w:lineRule="auto"/>
        <w:ind w:left="1145" w:hanging="357"/>
        <w:jc w:val="center"/>
        <w:rPr>
          <w:rFonts w:ascii="Arial" w:hAnsi="Arial" w:cs="Arial"/>
          <w:b/>
          <w:sz w:val="24"/>
          <w:szCs w:val="24"/>
        </w:rPr>
      </w:pPr>
      <w:r w:rsidRPr="00EE2344">
        <w:rPr>
          <w:rFonts w:ascii="Arial" w:hAnsi="Arial" w:cs="Arial"/>
          <w:b/>
          <w:sz w:val="24"/>
          <w:szCs w:val="24"/>
        </w:rPr>
        <w:t>Co-operation for Sustainable Development Board</w:t>
      </w:r>
    </w:p>
    <w:p w14:paraId="14F14144" w14:textId="77777777" w:rsidR="00A44800" w:rsidRDefault="00313600" w:rsidP="00A44800">
      <w:pPr>
        <w:spacing w:after="120" w:line="240" w:lineRule="auto"/>
        <w:ind w:left="284" w:hanging="284"/>
        <w:jc w:val="center"/>
        <w:rPr>
          <w:rFonts w:ascii="Arial" w:hAnsi="Arial" w:cs="Arial"/>
          <w:b/>
          <w:sz w:val="24"/>
          <w:szCs w:val="24"/>
        </w:rPr>
      </w:pPr>
      <w:r>
        <w:rPr>
          <w:rFonts w:ascii="Arial" w:hAnsi="Arial" w:cs="Arial"/>
          <w:b/>
          <w:sz w:val="24"/>
          <w:szCs w:val="24"/>
        </w:rPr>
        <w:t>September 2018 update</w:t>
      </w:r>
    </w:p>
    <w:p w14:paraId="684BF4DC" w14:textId="77777777" w:rsidR="00A44800" w:rsidRDefault="00A44800" w:rsidP="00F16347">
      <w:pPr>
        <w:spacing w:after="120" w:line="240" w:lineRule="auto"/>
        <w:ind w:left="284" w:hanging="284"/>
        <w:rPr>
          <w:rFonts w:ascii="Arial" w:hAnsi="Arial" w:cs="Arial"/>
          <w:b/>
          <w:sz w:val="24"/>
          <w:szCs w:val="24"/>
        </w:rPr>
      </w:pPr>
    </w:p>
    <w:p w14:paraId="7DF9A84D" w14:textId="066192DE" w:rsidR="005F5F13" w:rsidRPr="005B454E" w:rsidRDefault="005F5F13" w:rsidP="00F16347">
      <w:pPr>
        <w:spacing w:after="120" w:line="240" w:lineRule="auto"/>
        <w:ind w:left="284" w:hanging="284"/>
        <w:rPr>
          <w:rFonts w:ascii="Arial" w:hAnsi="Arial" w:cs="Arial"/>
          <w:b/>
          <w:sz w:val="24"/>
          <w:szCs w:val="24"/>
        </w:rPr>
      </w:pPr>
      <w:r w:rsidRPr="005B454E">
        <w:rPr>
          <w:rFonts w:ascii="Arial" w:hAnsi="Arial" w:cs="Arial"/>
          <w:b/>
          <w:sz w:val="24"/>
          <w:szCs w:val="24"/>
        </w:rPr>
        <w:t>1.</w:t>
      </w:r>
      <w:r w:rsidRPr="005B454E">
        <w:rPr>
          <w:rFonts w:ascii="Arial" w:hAnsi="Arial" w:cs="Arial"/>
          <w:b/>
          <w:sz w:val="24"/>
          <w:szCs w:val="24"/>
        </w:rPr>
        <w:tab/>
        <w:t xml:space="preserve"> Aims and Objectives </w:t>
      </w:r>
    </w:p>
    <w:p w14:paraId="6DBA7ACB" w14:textId="77777777" w:rsidR="005F5F13" w:rsidRPr="005B454E" w:rsidRDefault="005F5F13" w:rsidP="00F16347">
      <w:pPr>
        <w:spacing w:after="120" w:line="240" w:lineRule="auto"/>
        <w:ind w:left="1145" w:hanging="357"/>
        <w:rPr>
          <w:rFonts w:ascii="Arial" w:hAnsi="Arial" w:cs="Arial"/>
          <w:b/>
          <w:sz w:val="24"/>
          <w:szCs w:val="24"/>
        </w:rPr>
      </w:pPr>
      <w:r w:rsidRPr="005B454E">
        <w:rPr>
          <w:rFonts w:ascii="Arial" w:hAnsi="Arial" w:cs="Arial"/>
          <w:b/>
          <w:sz w:val="24"/>
          <w:szCs w:val="24"/>
        </w:rPr>
        <w:t xml:space="preserve">(1) The </w:t>
      </w:r>
      <w:r w:rsidRPr="00EE2344">
        <w:rPr>
          <w:rFonts w:ascii="Arial" w:hAnsi="Arial" w:cs="Arial"/>
          <w:b/>
          <w:sz w:val="24"/>
          <w:szCs w:val="24"/>
        </w:rPr>
        <w:t>Co-operation for Sustainable Development</w:t>
      </w:r>
      <w:r>
        <w:rPr>
          <w:rFonts w:ascii="Arial" w:hAnsi="Arial" w:cs="Arial"/>
          <w:b/>
          <w:sz w:val="24"/>
          <w:szCs w:val="24"/>
        </w:rPr>
        <w:t xml:space="preserve"> </w:t>
      </w:r>
      <w:r w:rsidRPr="005B454E">
        <w:rPr>
          <w:rFonts w:ascii="Arial" w:hAnsi="Arial" w:cs="Arial"/>
          <w:b/>
          <w:sz w:val="24"/>
          <w:szCs w:val="24"/>
        </w:rPr>
        <w:t>Board will</w:t>
      </w:r>
      <w:r w:rsidRPr="00EE2344">
        <w:rPr>
          <w:rFonts w:ascii="Arial" w:hAnsi="Arial" w:cs="Arial"/>
          <w:b/>
          <w:sz w:val="24"/>
          <w:szCs w:val="24"/>
        </w:rPr>
        <w:t xml:space="preserve"> support Local Plan making and delivery for sustainable communities across geographical and administrat</w:t>
      </w:r>
      <w:r>
        <w:rPr>
          <w:rFonts w:ascii="Arial" w:hAnsi="Arial" w:cs="Arial"/>
          <w:b/>
          <w:sz w:val="24"/>
          <w:szCs w:val="24"/>
        </w:rPr>
        <w:t>ive</w:t>
      </w:r>
      <w:r w:rsidRPr="00EE2344">
        <w:rPr>
          <w:rFonts w:ascii="Arial" w:hAnsi="Arial" w:cs="Arial"/>
          <w:b/>
          <w:sz w:val="24"/>
          <w:szCs w:val="24"/>
        </w:rPr>
        <w:t xml:space="preserve"> boundaries in West Essex, East Hertfordshire and the adjoining </w:t>
      </w:r>
      <w:smartTag w:uri="urn:schemas-microsoft-com:office:smarttags" w:element="place">
        <w:smartTag w:uri="urn:schemas-microsoft-com:office:smarttags" w:element="City">
          <w:r w:rsidRPr="00EE2344">
            <w:rPr>
              <w:rFonts w:ascii="Arial" w:hAnsi="Arial" w:cs="Arial"/>
              <w:b/>
              <w:sz w:val="24"/>
              <w:szCs w:val="24"/>
            </w:rPr>
            <w:t>London</w:t>
          </w:r>
        </w:smartTag>
      </w:smartTag>
      <w:r w:rsidRPr="00EE2344">
        <w:rPr>
          <w:rFonts w:ascii="Arial" w:hAnsi="Arial" w:cs="Arial"/>
          <w:b/>
          <w:sz w:val="24"/>
          <w:szCs w:val="24"/>
        </w:rPr>
        <w:t xml:space="preserve"> Boroughs. </w:t>
      </w:r>
      <w:r w:rsidRPr="005B454E">
        <w:rPr>
          <w:rFonts w:ascii="Arial" w:hAnsi="Arial" w:cs="Arial"/>
          <w:b/>
          <w:sz w:val="24"/>
          <w:szCs w:val="24"/>
        </w:rPr>
        <w:t xml:space="preserve"> </w:t>
      </w:r>
      <w:r w:rsidRPr="00EE2344">
        <w:rPr>
          <w:rFonts w:ascii="Arial" w:hAnsi="Arial" w:cs="Arial"/>
          <w:b/>
          <w:sz w:val="24"/>
          <w:szCs w:val="24"/>
        </w:rPr>
        <w:t xml:space="preserve">It will do this by </w:t>
      </w:r>
      <w:r w:rsidRPr="005B454E">
        <w:rPr>
          <w:rFonts w:ascii="Arial" w:hAnsi="Arial" w:cs="Arial"/>
          <w:b/>
          <w:sz w:val="24"/>
          <w:szCs w:val="24"/>
        </w:rPr>
        <w:t>identify</w:t>
      </w:r>
      <w:r w:rsidRPr="00EE2344">
        <w:rPr>
          <w:rFonts w:ascii="Arial" w:hAnsi="Arial" w:cs="Arial"/>
          <w:b/>
          <w:sz w:val="24"/>
          <w:szCs w:val="24"/>
        </w:rPr>
        <w:t xml:space="preserve">ing and </w:t>
      </w:r>
      <w:r w:rsidRPr="005B454E">
        <w:rPr>
          <w:rFonts w:ascii="Arial" w:hAnsi="Arial" w:cs="Arial"/>
          <w:b/>
          <w:sz w:val="24"/>
          <w:szCs w:val="24"/>
        </w:rPr>
        <w:t>manag</w:t>
      </w:r>
      <w:r w:rsidRPr="00EE2344">
        <w:rPr>
          <w:rFonts w:ascii="Arial" w:hAnsi="Arial" w:cs="Arial"/>
          <w:b/>
          <w:sz w:val="24"/>
          <w:szCs w:val="24"/>
        </w:rPr>
        <w:t>ing</w:t>
      </w:r>
      <w:r w:rsidRPr="005B454E">
        <w:rPr>
          <w:rFonts w:ascii="Arial" w:hAnsi="Arial" w:cs="Arial"/>
          <w:b/>
          <w:sz w:val="24"/>
          <w:szCs w:val="24"/>
        </w:rPr>
        <w:t xml:space="preserve"> spatial planning issues that impact on more than one local planning area within </w:t>
      </w:r>
      <w:r w:rsidRPr="00EE2344">
        <w:rPr>
          <w:rFonts w:ascii="Arial" w:hAnsi="Arial" w:cs="Arial"/>
          <w:b/>
          <w:sz w:val="24"/>
          <w:szCs w:val="24"/>
        </w:rPr>
        <w:t xml:space="preserve">West Essex, East Herts and the adjoining </w:t>
      </w:r>
      <w:smartTag w:uri="urn:schemas-microsoft-com:office:smarttags" w:element="place">
        <w:smartTag w:uri="urn:schemas-microsoft-com:office:smarttags" w:element="City">
          <w:r w:rsidRPr="00EE2344">
            <w:rPr>
              <w:rFonts w:ascii="Arial" w:hAnsi="Arial" w:cs="Arial"/>
              <w:b/>
              <w:sz w:val="24"/>
              <w:szCs w:val="24"/>
            </w:rPr>
            <w:t>London</w:t>
          </w:r>
        </w:smartTag>
      </w:smartTag>
      <w:r w:rsidRPr="00EE2344">
        <w:rPr>
          <w:rFonts w:ascii="Arial" w:hAnsi="Arial" w:cs="Arial"/>
          <w:b/>
          <w:sz w:val="24"/>
          <w:szCs w:val="24"/>
        </w:rPr>
        <w:t xml:space="preserve"> Boroughs.</w:t>
      </w:r>
      <w:r w:rsidRPr="005B454E">
        <w:rPr>
          <w:rFonts w:ascii="Arial" w:hAnsi="Arial" w:cs="Arial"/>
          <w:b/>
          <w:sz w:val="24"/>
          <w:szCs w:val="24"/>
          <w:vertAlign w:val="superscript"/>
        </w:rPr>
        <w:footnoteReference w:id="2"/>
      </w:r>
      <w:r w:rsidRPr="005B454E">
        <w:rPr>
          <w:rFonts w:ascii="Arial" w:hAnsi="Arial" w:cs="Arial"/>
          <w:b/>
          <w:sz w:val="24"/>
          <w:szCs w:val="24"/>
        </w:rPr>
        <w:t xml:space="preserve"> </w:t>
      </w:r>
    </w:p>
    <w:p w14:paraId="2605C272" w14:textId="15A82CCA" w:rsidR="005F5F13" w:rsidRPr="005B454E" w:rsidRDefault="005F5F13" w:rsidP="00F16347">
      <w:pPr>
        <w:spacing w:after="120" w:line="240" w:lineRule="auto"/>
        <w:ind w:left="567" w:hanging="567"/>
        <w:jc w:val="both"/>
        <w:rPr>
          <w:rFonts w:ascii="Arial" w:hAnsi="Arial" w:cs="Arial"/>
          <w:iCs/>
          <w:color w:val="000000"/>
          <w:kern w:val="24"/>
          <w:sz w:val="24"/>
          <w:szCs w:val="24"/>
        </w:rPr>
      </w:pPr>
      <w:r w:rsidRPr="005B454E">
        <w:rPr>
          <w:rFonts w:ascii="Arial" w:hAnsi="Arial" w:cs="Arial"/>
          <w:sz w:val="24"/>
          <w:szCs w:val="24"/>
        </w:rPr>
        <w:t>1.1</w:t>
      </w:r>
      <w:r w:rsidRPr="005B454E">
        <w:rPr>
          <w:rFonts w:ascii="Arial" w:hAnsi="Arial" w:cs="Arial"/>
          <w:sz w:val="24"/>
          <w:szCs w:val="24"/>
        </w:rPr>
        <w:tab/>
        <w:t xml:space="preserve">Local authorities are required by law through the Duty to Cooperate to </w:t>
      </w:r>
      <w:r w:rsidRPr="005B454E">
        <w:rPr>
          <w:rFonts w:ascii="Arial" w:hAnsi="Arial" w:cs="Arial"/>
          <w:i/>
          <w:iCs/>
          <w:color w:val="000000"/>
          <w:kern w:val="24"/>
          <w:sz w:val="24"/>
          <w:szCs w:val="24"/>
        </w:rPr>
        <w:t>‘</w:t>
      </w:r>
      <w:r w:rsidRPr="005B454E">
        <w:rPr>
          <w:rFonts w:ascii="Arial" w:hAnsi="Arial" w:cs="Arial"/>
          <w:bCs/>
          <w:i/>
          <w:iCs/>
          <w:color w:val="000000"/>
          <w:kern w:val="24"/>
          <w:sz w:val="24"/>
          <w:szCs w:val="24"/>
        </w:rPr>
        <w:t>engage constructively, actively and on an on-going basis’</w:t>
      </w:r>
      <w:r w:rsidRPr="005B454E">
        <w:rPr>
          <w:rFonts w:ascii="Arial" w:hAnsi="Arial" w:cs="Arial"/>
          <w:i/>
          <w:iCs/>
          <w:color w:val="000000"/>
          <w:kern w:val="24"/>
          <w:sz w:val="24"/>
          <w:szCs w:val="24"/>
        </w:rPr>
        <w:t xml:space="preserve"> </w:t>
      </w:r>
      <w:r w:rsidRPr="005B454E">
        <w:rPr>
          <w:rFonts w:ascii="Arial" w:hAnsi="Arial" w:cs="Arial"/>
          <w:iCs/>
          <w:color w:val="000000"/>
          <w:kern w:val="24"/>
          <w:sz w:val="24"/>
          <w:szCs w:val="24"/>
        </w:rPr>
        <w:t>on planning matters that impact on more than one local planning area (‘strategic planning matters’).</w:t>
      </w:r>
      <w:r w:rsidRPr="005B454E">
        <w:rPr>
          <w:rFonts w:ascii="Arial" w:hAnsi="Arial" w:cs="Arial"/>
          <w:i/>
          <w:iCs/>
          <w:color w:val="000000"/>
          <w:kern w:val="24"/>
          <w:sz w:val="24"/>
          <w:szCs w:val="24"/>
        </w:rPr>
        <w:t xml:space="preserve"> </w:t>
      </w:r>
      <w:r w:rsidRPr="005B454E">
        <w:rPr>
          <w:rFonts w:ascii="Arial" w:hAnsi="Arial" w:cs="Arial"/>
          <w:iCs/>
          <w:color w:val="000000"/>
          <w:kern w:val="24"/>
          <w:sz w:val="24"/>
          <w:szCs w:val="24"/>
        </w:rPr>
        <w:t xml:space="preserve">The duty is further amplified in the National Planning Policy Framework (NPPF) which sets out </w:t>
      </w:r>
      <w:r w:rsidR="003E6D66">
        <w:rPr>
          <w:rFonts w:ascii="Arial" w:hAnsi="Arial" w:cs="Arial"/>
          <w:iCs/>
          <w:color w:val="000000"/>
          <w:kern w:val="24"/>
          <w:sz w:val="24"/>
          <w:szCs w:val="24"/>
        </w:rPr>
        <w:t>requirements for maintaining effective cooperation.</w:t>
      </w:r>
      <w:r w:rsidRPr="005B454E">
        <w:rPr>
          <w:rFonts w:ascii="Arial" w:hAnsi="Arial" w:cs="Arial"/>
          <w:sz w:val="24"/>
          <w:szCs w:val="24"/>
          <w:vertAlign w:val="superscript"/>
        </w:rPr>
        <w:footnoteReference w:id="3"/>
      </w:r>
      <w:r w:rsidRPr="005B454E">
        <w:rPr>
          <w:rFonts w:ascii="Arial" w:hAnsi="Arial" w:cs="Arial"/>
          <w:iCs/>
          <w:color w:val="000000"/>
          <w:kern w:val="24"/>
          <w:sz w:val="24"/>
          <w:szCs w:val="24"/>
        </w:rPr>
        <w:t>.</w:t>
      </w:r>
    </w:p>
    <w:p w14:paraId="46015D44" w14:textId="6FCB01D2" w:rsidR="005F5F13" w:rsidRPr="005B454E" w:rsidRDefault="005F5F13" w:rsidP="00F16347">
      <w:pPr>
        <w:spacing w:after="120" w:line="240" w:lineRule="auto"/>
        <w:ind w:left="567" w:hanging="567"/>
        <w:jc w:val="both"/>
        <w:rPr>
          <w:rFonts w:ascii="Arial" w:hAnsi="Arial" w:cs="Arial"/>
          <w:sz w:val="24"/>
          <w:szCs w:val="24"/>
        </w:rPr>
      </w:pPr>
      <w:r w:rsidRPr="005B454E">
        <w:rPr>
          <w:rFonts w:ascii="Arial" w:hAnsi="Arial" w:cs="Arial"/>
          <w:iCs/>
          <w:color w:val="000000"/>
          <w:kern w:val="24"/>
          <w:sz w:val="24"/>
          <w:szCs w:val="24"/>
        </w:rPr>
        <w:t>1.2</w:t>
      </w:r>
      <w:r w:rsidRPr="005B454E">
        <w:rPr>
          <w:rFonts w:ascii="Arial" w:hAnsi="Arial" w:cs="Arial"/>
          <w:iCs/>
          <w:color w:val="000000"/>
          <w:kern w:val="24"/>
          <w:sz w:val="24"/>
          <w:szCs w:val="24"/>
        </w:rPr>
        <w:tab/>
      </w:r>
      <w:r w:rsidRPr="005B454E">
        <w:rPr>
          <w:rFonts w:ascii="Arial" w:hAnsi="Arial" w:cs="Arial"/>
          <w:sz w:val="24"/>
          <w:szCs w:val="24"/>
        </w:rPr>
        <w:t xml:space="preserve">The </w:t>
      </w:r>
      <w:r w:rsidRPr="00EE2344">
        <w:rPr>
          <w:rFonts w:ascii="Arial" w:hAnsi="Arial" w:cs="Arial"/>
          <w:sz w:val="24"/>
          <w:szCs w:val="24"/>
        </w:rPr>
        <w:t xml:space="preserve">Co-operation for Sustainable Development Board </w:t>
      </w:r>
      <w:r w:rsidRPr="005B454E">
        <w:rPr>
          <w:rFonts w:ascii="Arial" w:hAnsi="Arial" w:cs="Arial"/>
          <w:sz w:val="24"/>
          <w:szCs w:val="24"/>
        </w:rPr>
        <w:t>(‘the Board’)</w:t>
      </w:r>
      <w:r w:rsidR="003E6D66">
        <w:rPr>
          <w:rFonts w:ascii="Arial" w:hAnsi="Arial" w:cs="Arial"/>
          <w:sz w:val="24"/>
          <w:szCs w:val="24"/>
        </w:rPr>
        <w:t>established in October 2014</w:t>
      </w:r>
      <w:r w:rsidRPr="005B454E">
        <w:rPr>
          <w:rFonts w:ascii="Arial" w:hAnsi="Arial" w:cs="Arial"/>
          <w:sz w:val="24"/>
          <w:szCs w:val="24"/>
        </w:rPr>
        <w:t xml:space="preserve"> is responsible, on behalf of the</w:t>
      </w:r>
      <w:r w:rsidRPr="00EE2344">
        <w:rPr>
          <w:rFonts w:ascii="Arial" w:hAnsi="Arial" w:cs="Arial"/>
          <w:sz w:val="24"/>
          <w:szCs w:val="24"/>
        </w:rPr>
        <w:t xml:space="preserve"> core</w:t>
      </w:r>
      <w:r w:rsidRPr="005B454E">
        <w:rPr>
          <w:rFonts w:ascii="Arial" w:hAnsi="Arial" w:cs="Arial"/>
          <w:sz w:val="24"/>
          <w:szCs w:val="24"/>
        </w:rPr>
        <w:t xml:space="preserve"> </w:t>
      </w:r>
      <w:r w:rsidRPr="00EE2344">
        <w:rPr>
          <w:rFonts w:ascii="Arial" w:hAnsi="Arial" w:cs="Arial"/>
          <w:sz w:val="24"/>
          <w:szCs w:val="24"/>
        </w:rPr>
        <w:t>member authorities</w:t>
      </w:r>
      <w:r w:rsidRPr="005B454E">
        <w:rPr>
          <w:rFonts w:ascii="Arial" w:hAnsi="Arial" w:cs="Arial"/>
          <w:sz w:val="24"/>
          <w:szCs w:val="24"/>
        </w:rPr>
        <w:t xml:space="preserve">, for identifying the </w:t>
      </w:r>
      <w:r w:rsidR="003E6D66">
        <w:rPr>
          <w:rFonts w:ascii="Arial" w:hAnsi="Arial" w:cs="Arial"/>
          <w:sz w:val="24"/>
          <w:szCs w:val="24"/>
        </w:rPr>
        <w:t xml:space="preserve">strategic </w:t>
      </w:r>
      <w:r w:rsidRPr="005B454E">
        <w:rPr>
          <w:rFonts w:ascii="Arial" w:hAnsi="Arial" w:cs="Arial"/>
          <w:sz w:val="24"/>
          <w:szCs w:val="24"/>
        </w:rPr>
        <w:t>issues that impact on more than one local planning area and agreeing how these should be  managed (covering the whole local plan cycle from plan-making, through to delivery and monitoring)</w:t>
      </w:r>
      <w:r w:rsidRPr="00EE2344">
        <w:rPr>
          <w:rFonts w:ascii="Arial" w:hAnsi="Arial" w:cs="Arial"/>
          <w:sz w:val="24"/>
          <w:szCs w:val="24"/>
        </w:rPr>
        <w:t>.</w:t>
      </w:r>
      <w:r>
        <w:rPr>
          <w:rFonts w:ascii="Arial" w:hAnsi="Arial" w:cs="Arial"/>
          <w:sz w:val="24"/>
          <w:szCs w:val="24"/>
        </w:rPr>
        <w:t xml:space="preserve"> This may include evidence gathering.  It is an advisory body, and any decisions resulting from its advice remain the responsibility of its constituent councils. </w:t>
      </w:r>
    </w:p>
    <w:p w14:paraId="3D63C8FA" w14:textId="141A177A" w:rsidR="005F5F13" w:rsidRPr="005B454E" w:rsidRDefault="005F5F13" w:rsidP="00C50EC2">
      <w:pPr>
        <w:spacing w:after="120" w:line="240" w:lineRule="auto"/>
        <w:ind w:left="567" w:hanging="567"/>
        <w:jc w:val="both"/>
        <w:rPr>
          <w:rFonts w:ascii="Arial" w:hAnsi="Arial" w:cs="Arial"/>
          <w:b/>
          <w:sz w:val="24"/>
          <w:szCs w:val="24"/>
        </w:rPr>
      </w:pPr>
      <w:r w:rsidRPr="005B454E">
        <w:rPr>
          <w:rFonts w:ascii="Arial" w:hAnsi="Arial" w:cs="Arial"/>
          <w:sz w:val="24"/>
          <w:szCs w:val="24"/>
        </w:rPr>
        <w:t>1.3</w:t>
      </w:r>
      <w:r w:rsidRPr="005B454E">
        <w:rPr>
          <w:rFonts w:ascii="Arial" w:hAnsi="Arial" w:cs="Arial"/>
          <w:sz w:val="24"/>
          <w:szCs w:val="24"/>
        </w:rPr>
        <w:tab/>
        <w:t xml:space="preserve">As part of this process, the Board </w:t>
      </w:r>
      <w:r w:rsidRPr="00EE2344">
        <w:rPr>
          <w:rFonts w:ascii="Arial" w:hAnsi="Arial" w:cs="Arial"/>
          <w:sz w:val="24"/>
          <w:szCs w:val="24"/>
        </w:rPr>
        <w:t>will</w:t>
      </w:r>
      <w:r w:rsidRPr="005B454E">
        <w:rPr>
          <w:rFonts w:ascii="Arial" w:hAnsi="Arial" w:cs="Arial"/>
          <w:sz w:val="24"/>
          <w:szCs w:val="24"/>
        </w:rPr>
        <w:t xml:space="preserve"> </w:t>
      </w:r>
      <w:r w:rsidR="003E6D66">
        <w:rPr>
          <w:rFonts w:ascii="Arial" w:hAnsi="Arial" w:cs="Arial"/>
          <w:sz w:val="24"/>
          <w:szCs w:val="24"/>
        </w:rPr>
        <w:t xml:space="preserve">keep under </w:t>
      </w:r>
      <w:r w:rsidRPr="005B454E">
        <w:rPr>
          <w:rFonts w:ascii="Arial" w:hAnsi="Arial" w:cs="Arial"/>
          <w:sz w:val="24"/>
          <w:szCs w:val="24"/>
        </w:rPr>
        <w:t xml:space="preserve">review </w:t>
      </w:r>
      <w:r w:rsidR="003E6D66">
        <w:rPr>
          <w:rFonts w:ascii="Arial" w:hAnsi="Arial" w:cs="Arial"/>
          <w:sz w:val="24"/>
          <w:szCs w:val="24"/>
        </w:rPr>
        <w:t xml:space="preserve">the </w:t>
      </w:r>
      <w:r w:rsidRPr="00EE2344">
        <w:rPr>
          <w:rFonts w:ascii="Arial" w:hAnsi="Arial" w:cs="Arial"/>
          <w:sz w:val="24"/>
          <w:szCs w:val="24"/>
        </w:rPr>
        <w:t xml:space="preserve">cross boundary issues (strategic planning matters) </w:t>
      </w:r>
      <w:r w:rsidRPr="005B454E">
        <w:rPr>
          <w:rFonts w:ascii="Arial" w:hAnsi="Arial" w:cs="Arial"/>
          <w:sz w:val="24"/>
          <w:szCs w:val="24"/>
        </w:rPr>
        <w:t xml:space="preserve">being progressed through </w:t>
      </w:r>
      <w:r w:rsidR="0044569B">
        <w:rPr>
          <w:rFonts w:ascii="Arial" w:hAnsi="Arial" w:cs="Arial"/>
          <w:sz w:val="24"/>
          <w:szCs w:val="24"/>
        </w:rPr>
        <w:t>L</w:t>
      </w:r>
      <w:r w:rsidRPr="005B454E">
        <w:rPr>
          <w:rFonts w:ascii="Arial" w:hAnsi="Arial" w:cs="Arial"/>
          <w:sz w:val="24"/>
          <w:szCs w:val="24"/>
        </w:rPr>
        <w:t xml:space="preserve">ocal </w:t>
      </w:r>
      <w:r w:rsidR="0044569B">
        <w:rPr>
          <w:rFonts w:ascii="Arial" w:hAnsi="Arial" w:cs="Arial"/>
          <w:sz w:val="24"/>
          <w:szCs w:val="24"/>
        </w:rPr>
        <w:t>P</w:t>
      </w:r>
      <w:r w:rsidRPr="005B454E">
        <w:rPr>
          <w:rFonts w:ascii="Arial" w:hAnsi="Arial" w:cs="Arial"/>
          <w:sz w:val="24"/>
          <w:szCs w:val="24"/>
        </w:rPr>
        <w:t>lans</w:t>
      </w:r>
      <w:r w:rsidRPr="00EE2344">
        <w:rPr>
          <w:rFonts w:ascii="Arial" w:hAnsi="Arial" w:cs="Arial"/>
          <w:sz w:val="24"/>
          <w:szCs w:val="24"/>
        </w:rPr>
        <w:t xml:space="preserve"> and constituent Local </w:t>
      </w:r>
      <w:r w:rsidR="00313600">
        <w:rPr>
          <w:rFonts w:ascii="Arial" w:hAnsi="Arial" w:cs="Arial"/>
          <w:sz w:val="24"/>
          <w:szCs w:val="24"/>
        </w:rPr>
        <w:t xml:space="preserve">Plan </w:t>
      </w:r>
      <w:r w:rsidRPr="00EE2344">
        <w:rPr>
          <w:rFonts w:ascii="Arial" w:hAnsi="Arial" w:cs="Arial"/>
          <w:sz w:val="24"/>
          <w:szCs w:val="24"/>
        </w:rPr>
        <w:t>documents as appropriate,</w:t>
      </w:r>
      <w:r w:rsidRPr="005B454E">
        <w:rPr>
          <w:rFonts w:ascii="Arial" w:hAnsi="Arial" w:cs="Arial"/>
          <w:sz w:val="24"/>
          <w:szCs w:val="24"/>
        </w:rPr>
        <w:t xml:space="preserve"> and identify </w:t>
      </w:r>
      <w:r>
        <w:rPr>
          <w:rFonts w:ascii="Arial" w:hAnsi="Arial" w:cs="Arial"/>
          <w:sz w:val="24"/>
          <w:szCs w:val="24"/>
        </w:rPr>
        <w:t>issues</w:t>
      </w:r>
      <w:r w:rsidRPr="005B454E">
        <w:rPr>
          <w:rFonts w:ascii="Arial" w:hAnsi="Arial" w:cs="Arial"/>
          <w:sz w:val="24"/>
          <w:szCs w:val="24"/>
        </w:rPr>
        <w:t xml:space="preserve"> which are likely to </w:t>
      </w:r>
      <w:r w:rsidR="00313600">
        <w:rPr>
          <w:rFonts w:ascii="Arial" w:hAnsi="Arial" w:cs="Arial"/>
          <w:sz w:val="24"/>
          <w:szCs w:val="24"/>
        </w:rPr>
        <w:t xml:space="preserve">require cross boundary working.  </w:t>
      </w:r>
      <w:r w:rsidRPr="00EE2344">
        <w:rPr>
          <w:rFonts w:ascii="Arial" w:hAnsi="Arial" w:cs="Arial"/>
          <w:sz w:val="24"/>
          <w:szCs w:val="24"/>
        </w:rPr>
        <w:t xml:space="preserve">In doing so it will consider the plans of local planning authorities outside the core membership where these are likely to </w:t>
      </w:r>
      <w:r w:rsidRPr="00EE2344">
        <w:rPr>
          <w:rFonts w:ascii="Arial" w:hAnsi="Arial" w:cs="Arial"/>
          <w:sz w:val="24"/>
          <w:szCs w:val="24"/>
        </w:rPr>
        <w:lastRenderedPageBreak/>
        <w:t xml:space="preserve">impact upon more than one member authority. </w:t>
      </w:r>
      <w:r w:rsidRPr="00EE2344">
        <w:rPr>
          <w:rStyle w:val="FootnoteReference"/>
          <w:rFonts w:ascii="Arial" w:hAnsi="Arial" w:cs="Arial"/>
          <w:sz w:val="24"/>
          <w:szCs w:val="24"/>
        </w:rPr>
        <w:footnoteReference w:id="4"/>
      </w:r>
      <w:r w:rsidRPr="00EE2344">
        <w:rPr>
          <w:rFonts w:ascii="Arial" w:hAnsi="Arial" w:cs="Arial"/>
          <w:sz w:val="24"/>
          <w:szCs w:val="24"/>
        </w:rPr>
        <w:t xml:space="preserve">  </w:t>
      </w:r>
      <w:r w:rsidRPr="00EE2344">
        <w:rPr>
          <w:rFonts w:ascii="Arial" w:hAnsi="Arial" w:cs="Arial"/>
          <w:sz w:val="24"/>
          <w:szCs w:val="24"/>
        </w:rPr>
        <w:br w:type="page"/>
      </w:r>
      <w:r w:rsidRPr="005B454E">
        <w:rPr>
          <w:rFonts w:ascii="Arial" w:hAnsi="Arial" w:cs="Arial"/>
          <w:b/>
          <w:sz w:val="24"/>
          <w:szCs w:val="24"/>
        </w:rPr>
        <w:lastRenderedPageBreak/>
        <w:t xml:space="preserve">(2) The </w:t>
      </w:r>
      <w:r w:rsidRPr="00EE2344">
        <w:rPr>
          <w:rFonts w:ascii="Arial" w:hAnsi="Arial" w:cs="Arial"/>
          <w:b/>
          <w:sz w:val="24"/>
          <w:szCs w:val="24"/>
        </w:rPr>
        <w:t>Bo</w:t>
      </w:r>
      <w:r w:rsidRPr="005B454E">
        <w:rPr>
          <w:rFonts w:ascii="Arial" w:hAnsi="Arial" w:cs="Arial"/>
          <w:b/>
          <w:sz w:val="24"/>
          <w:szCs w:val="24"/>
        </w:rPr>
        <w:t xml:space="preserve">ard will support better integration and alignment of strategic spatial and investment priorities in </w:t>
      </w:r>
      <w:r w:rsidRPr="00EE2344">
        <w:rPr>
          <w:rFonts w:ascii="Arial" w:hAnsi="Arial" w:cs="Arial"/>
          <w:b/>
          <w:sz w:val="24"/>
          <w:szCs w:val="24"/>
        </w:rPr>
        <w:t>West Essex, East Herts and adjoining London boroughs</w:t>
      </w:r>
      <w:r w:rsidRPr="005B454E">
        <w:rPr>
          <w:rFonts w:ascii="Arial" w:hAnsi="Arial" w:cs="Arial"/>
          <w:b/>
          <w:sz w:val="24"/>
          <w:szCs w:val="24"/>
        </w:rPr>
        <w:t>, ensuring that there is a clear and defined route through the statutory local planning process, where necessary.</w:t>
      </w:r>
    </w:p>
    <w:p w14:paraId="3821FF67" w14:textId="77777777" w:rsidR="005F5F13" w:rsidRPr="005B454E"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1.4</w:t>
      </w:r>
      <w:r w:rsidRPr="005B454E">
        <w:rPr>
          <w:rFonts w:ascii="Arial" w:hAnsi="Arial" w:cs="Arial"/>
          <w:sz w:val="24"/>
          <w:szCs w:val="24"/>
        </w:rPr>
        <w:tab/>
        <w:t xml:space="preserve">In order to </w:t>
      </w:r>
      <w:r>
        <w:rPr>
          <w:rFonts w:ascii="Arial" w:hAnsi="Arial" w:cs="Arial"/>
          <w:sz w:val="24"/>
          <w:szCs w:val="24"/>
        </w:rPr>
        <w:t>support the economic growth points within the area a</w:t>
      </w:r>
      <w:r w:rsidRPr="005B454E">
        <w:rPr>
          <w:rFonts w:ascii="Arial" w:hAnsi="Arial" w:cs="Arial"/>
          <w:sz w:val="24"/>
          <w:szCs w:val="24"/>
        </w:rPr>
        <w:t>nd investor confidence</w:t>
      </w:r>
      <w:r>
        <w:rPr>
          <w:rFonts w:ascii="Arial" w:hAnsi="Arial" w:cs="Arial"/>
          <w:sz w:val="24"/>
          <w:szCs w:val="24"/>
        </w:rPr>
        <w:t>, recognising the different attributes and contributions made by the individual member councils,</w:t>
      </w:r>
      <w:r w:rsidRPr="00EE2344">
        <w:rPr>
          <w:rFonts w:ascii="Arial" w:hAnsi="Arial" w:cs="Arial"/>
          <w:sz w:val="24"/>
          <w:szCs w:val="24"/>
        </w:rPr>
        <w:t xml:space="preserve"> the</w:t>
      </w:r>
      <w:r w:rsidRPr="005B454E">
        <w:rPr>
          <w:rFonts w:ascii="Arial" w:hAnsi="Arial" w:cs="Arial"/>
          <w:sz w:val="24"/>
          <w:szCs w:val="24"/>
        </w:rPr>
        <w:t xml:space="preserve"> Board will work jointly with</w:t>
      </w:r>
      <w:r w:rsidRPr="00EE2344">
        <w:rPr>
          <w:rFonts w:ascii="Arial" w:hAnsi="Arial" w:cs="Arial"/>
          <w:sz w:val="24"/>
          <w:szCs w:val="24"/>
        </w:rPr>
        <w:t xml:space="preserve"> the Local Economic Partnerships</w:t>
      </w:r>
      <w:r>
        <w:rPr>
          <w:rFonts w:ascii="Arial" w:hAnsi="Arial" w:cs="Arial"/>
          <w:sz w:val="24"/>
          <w:szCs w:val="24"/>
        </w:rPr>
        <w:t xml:space="preserve"> identified in Section 4 </w:t>
      </w:r>
      <w:r w:rsidRPr="005B454E">
        <w:rPr>
          <w:rFonts w:ascii="Arial" w:hAnsi="Arial" w:cs="Arial"/>
          <w:sz w:val="24"/>
          <w:szCs w:val="24"/>
        </w:rPr>
        <w:t>to</w:t>
      </w:r>
      <w:r w:rsidRPr="00EE2344">
        <w:rPr>
          <w:rFonts w:ascii="Arial" w:hAnsi="Arial" w:cs="Arial"/>
          <w:sz w:val="24"/>
          <w:szCs w:val="24"/>
        </w:rPr>
        <w:t xml:space="preserve"> understand</w:t>
      </w:r>
      <w:r w:rsidRPr="005B454E">
        <w:rPr>
          <w:rFonts w:ascii="Arial" w:hAnsi="Arial" w:cs="Arial"/>
          <w:sz w:val="24"/>
          <w:szCs w:val="24"/>
        </w:rPr>
        <w:t xml:space="preserve"> long term investment priorities and ensure that these are aligned with other public and private sector investment plans.</w:t>
      </w:r>
    </w:p>
    <w:p w14:paraId="14EDC8BA" w14:textId="77777777" w:rsidR="005F5F13" w:rsidRPr="005B454E" w:rsidRDefault="005F5F13" w:rsidP="00F16347">
      <w:pPr>
        <w:spacing w:after="120" w:line="240" w:lineRule="auto"/>
        <w:ind w:left="1145" w:hanging="357"/>
        <w:jc w:val="both"/>
        <w:rPr>
          <w:rFonts w:ascii="Arial" w:hAnsi="Arial" w:cs="Arial"/>
          <w:b/>
          <w:sz w:val="24"/>
          <w:szCs w:val="24"/>
        </w:rPr>
      </w:pPr>
    </w:p>
    <w:p w14:paraId="013A5127" w14:textId="77777777" w:rsidR="005F5F13" w:rsidRPr="005B454E" w:rsidRDefault="005F5F13" w:rsidP="00F16347">
      <w:pPr>
        <w:spacing w:after="120" w:line="240" w:lineRule="auto"/>
        <w:ind w:left="1145" w:hanging="1145"/>
        <w:jc w:val="both"/>
        <w:rPr>
          <w:rFonts w:ascii="Arial" w:hAnsi="Arial" w:cs="Arial"/>
          <w:b/>
          <w:sz w:val="24"/>
          <w:szCs w:val="24"/>
        </w:rPr>
      </w:pPr>
      <w:r w:rsidRPr="005B454E">
        <w:rPr>
          <w:rFonts w:ascii="Arial" w:hAnsi="Arial" w:cs="Arial"/>
          <w:b/>
          <w:sz w:val="24"/>
          <w:szCs w:val="24"/>
        </w:rPr>
        <w:t xml:space="preserve">2.   Membership and Accountabilities </w:t>
      </w:r>
    </w:p>
    <w:p w14:paraId="354806E2" w14:textId="24BB28D5" w:rsidR="005F5F13" w:rsidRPr="005B454E"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2.1</w:t>
      </w:r>
      <w:r w:rsidRPr="005B454E">
        <w:rPr>
          <w:rFonts w:ascii="Arial" w:hAnsi="Arial" w:cs="Arial"/>
          <w:sz w:val="24"/>
          <w:szCs w:val="24"/>
        </w:rPr>
        <w:tab/>
        <w:t>The Board provides a forum for local authorities to manage</w:t>
      </w:r>
      <w:r w:rsidR="003E6D66">
        <w:rPr>
          <w:rFonts w:ascii="Arial" w:hAnsi="Arial" w:cs="Arial"/>
          <w:sz w:val="24"/>
          <w:szCs w:val="24"/>
        </w:rPr>
        <w:t xml:space="preserve"> strategic matters</w:t>
      </w:r>
      <w:r w:rsidRPr="005B454E">
        <w:rPr>
          <w:rFonts w:ascii="Arial" w:hAnsi="Arial" w:cs="Arial"/>
          <w:sz w:val="24"/>
          <w:szCs w:val="24"/>
        </w:rPr>
        <w:t xml:space="preserve"> that impact on more than one local planning area, developing the necessary evidence base and ensuring wider corporate and other relevant matters are fully taken into account.  </w:t>
      </w:r>
      <w:bookmarkStart w:id="1" w:name="_Hlk523926903"/>
      <w:r w:rsidR="00313600">
        <w:rPr>
          <w:rFonts w:ascii="Arial" w:hAnsi="Arial" w:cs="Arial"/>
          <w:sz w:val="24"/>
          <w:szCs w:val="24"/>
        </w:rPr>
        <w:t>It provide</w:t>
      </w:r>
      <w:r w:rsidR="003E6D66">
        <w:rPr>
          <w:rFonts w:ascii="Arial" w:hAnsi="Arial" w:cs="Arial"/>
          <w:sz w:val="24"/>
          <w:szCs w:val="24"/>
        </w:rPr>
        <w:t>s</w:t>
      </w:r>
      <w:r w:rsidR="00313600">
        <w:rPr>
          <w:rFonts w:ascii="Arial" w:hAnsi="Arial" w:cs="Arial"/>
          <w:sz w:val="24"/>
          <w:szCs w:val="24"/>
        </w:rPr>
        <w:t xml:space="preserve"> a mechanism to demonstrate effective and </w:t>
      </w:r>
      <w:proofErr w:type="spellStart"/>
      <w:r w:rsidR="00313600">
        <w:rPr>
          <w:rFonts w:ascii="Arial" w:hAnsi="Arial" w:cs="Arial"/>
          <w:sz w:val="24"/>
          <w:szCs w:val="24"/>
        </w:rPr>
        <w:t>on going</w:t>
      </w:r>
      <w:proofErr w:type="spellEnd"/>
      <w:r w:rsidR="00313600">
        <w:rPr>
          <w:rFonts w:ascii="Arial" w:hAnsi="Arial" w:cs="Arial"/>
          <w:sz w:val="24"/>
          <w:szCs w:val="24"/>
        </w:rPr>
        <w:t xml:space="preserve"> joint working and support the preparation of statements of common ground or memorandum of understanding</w:t>
      </w:r>
      <w:r w:rsidR="003E6D66">
        <w:rPr>
          <w:rStyle w:val="FootnoteReference"/>
          <w:rFonts w:ascii="Arial" w:hAnsi="Arial"/>
          <w:sz w:val="24"/>
          <w:szCs w:val="24"/>
        </w:rPr>
        <w:footnoteReference w:id="5"/>
      </w:r>
      <w:r w:rsidR="00313600">
        <w:rPr>
          <w:rFonts w:ascii="Arial" w:hAnsi="Arial" w:cs="Arial"/>
          <w:sz w:val="24"/>
          <w:szCs w:val="24"/>
        </w:rPr>
        <w:t xml:space="preserve"> to demonstrate how the cross boundary matters are being addressed and the progress in addressing them</w:t>
      </w:r>
      <w:bookmarkEnd w:id="1"/>
      <w:r w:rsidR="00313600">
        <w:rPr>
          <w:rFonts w:ascii="Arial" w:hAnsi="Arial" w:cs="Arial"/>
          <w:sz w:val="24"/>
          <w:szCs w:val="24"/>
        </w:rPr>
        <w:t>.</w:t>
      </w:r>
      <w:r w:rsidR="003E6D66">
        <w:rPr>
          <w:rFonts w:ascii="Arial" w:hAnsi="Arial" w:cs="Arial"/>
          <w:sz w:val="24"/>
          <w:szCs w:val="24"/>
        </w:rPr>
        <w:t xml:space="preserve"> </w:t>
      </w:r>
      <w:r w:rsidR="00313600">
        <w:rPr>
          <w:rFonts w:ascii="Arial" w:hAnsi="Arial" w:cs="Arial"/>
          <w:sz w:val="24"/>
          <w:szCs w:val="24"/>
        </w:rPr>
        <w:t xml:space="preserve"> </w:t>
      </w:r>
      <w:r w:rsidRPr="005B454E">
        <w:rPr>
          <w:rFonts w:ascii="Arial" w:hAnsi="Arial" w:cs="Arial"/>
          <w:sz w:val="24"/>
          <w:szCs w:val="24"/>
        </w:rPr>
        <w:t xml:space="preserve">Although there is a clear emphasis on reaching a common approach on key strategic </w:t>
      </w:r>
      <w:r w:rsidRPr="00EE2344">
        <w:rPr>
          <w:rFonts w:ascii="Arial" w:hAnsi="Arial" w:cs="Arial"/>
          <w:sz w:val="24"/>
          <w:szCs w:val="24"/>
        </w:rPr>
        <w:t>approaches</w:t>
      </w:r>
      <w:r w:rsidRPr="005B454E">
        <w:rPr>
          <w:rFonts w:ascii="Arial" w:hAnsi="Arial" w:cs="Arial"/>
          <w:sz w:val="24"/>
          <w:szCs w:val="24"/>
        </w:rPr>
        <w:t>, the Board is an advisory body</w:t>
      </w:r>
      <w:r>
        <w:rPr>
          <w:rFonts w:ascii="Arial" w:hAnsi="Arial" w:cs="Arial"/>
          <w:sz w:val="24"/>
          <w:szCs w:val="24"/>
        </w:rPr>
        <w:t xml:space="preserve"> only</w:t>
      </w:r>
      <w:r w:rsidRPr="00EE2344">
        <w:rPr>
          <w:rFonts w:ascii="Arial" w:hAnsi="Arial" w:cs="Arial"/>
          <w:sz w:val="24"/>
          <w:szCs w:val="24"/>
        </w:rPr>
        <w:t>. An</w:t>
      </w:r>
      <w:r w:rsidRPr="005B454E">
        <w:rPr>
          <w:rFonts w:ascii="Arial" w:hAnsi="Arial" w:cs="Arial"/>
          <w:sz w:val="24"/>
          <w:szCs w:val="24"/>
        </w:rPr>
        <w:t xml:space="preserve">y decisions on taking forward outputs from its </w:t>
      </w:r>
      <w:r w:rsidRPr="00EE2344">
        <w:rPr>
          <w:rFonts w:ascii="Arial" w:hAnsi="Arial" w:cs="Arial"/>
          <w:sz w:val="24"/>
          <w:szCs w:val="24"/>
        </w:rPr>
        <w:t xml:space="preserve">meetings and </w:t>
      </w:r>
      <w:r w:rsidRPr="005B454E">
        <w:rPr>
          <w:rFonts w:ascii="Arial" w:hAnsi="Arial" w:cs="Arial"/>
          <w:sz w:val="24"/>
          <w:szCs w:val="24"/>
        </w:rPr>
        <w:t xml:space="preserve">work programme (e.g. </w:t>
      </w:r>
      <w:r w:rsidRPr="00EE2344">
        <w:rPr>
          <w:rFonts w:ascii="Arial" w:hAnsi="Arial" w:cs="Arial"/>
          <w:sz w:val="24"/>
          <w:szCs w:val="24"/>
        </w:rPr>
        <w:t xml:space="preserve">shared views, policy approaches, </w:t>
      </w:r>
      <w:r w:rsidRPr="005B454E">
        <w:rPr>
          <w:rFonts w:ascii="Arial" w:hAnsi="Arial" w:cs="Arial"/>
          <w:sz w:val="24"/>
          <w:szCs w:val="24"/>
        </w:rPr>
        <w:t xml:space="preserve">evidence or research) will be the responsibility of individual local authorities and the statutory planning process. </w:t>
      </w:r>
    </w:p>
    <w:p w14:paraId="273CCB0B" w14:textId="77777777" w:rsidR="005F5F13" w:rsidRPr="00EE2344" w:rsidRDefault="005F5F13" w:rsidP="00F16347">
      <w:pPr>
        <w:pStyle w:val="FootnoteText"/>
        <w:spacing w:after="120"/>
        <w:ind w:left="567" w:hanging="567"/>
        <w:jc w:val="both"/>
        <w:rPr>
          <w:rFonts w:ascii="Arial" w:hAnsi="Arial" w:cs="Arial"/>
        </w:rPr>
      </w:pPr>
      <w:r w:rsidRPr="005B454E">
        <w:rPr>
          <w:rFonts w:ascii="Arial" w:hAnsi="Arial" w:cs="Arial"/>
        </w:rPr>
        <w:t>2.2</w:t>
      </w:r>
      <w:r>
        <w:rPr>
          <w:rFonts w:ascii="Arial" w:hAnsi="Arial" w:cs="Arial"/>
        </w:rPr>
        <w:tab/>
      </w:r>
      <w:r w:rsidRPr="005B454E">
        <w:rPr>
          <w:rFonts w:ascii="Arial" w:hAnsi="Arial" w:cs="Arial"/>
        </w:rPr>
        <w:t xml:space="preserve">Core membership of the Board will comprise representatives from </w:t>
      </w:r>
      <w:r w:rsidRPr="00EE2344">
        <w:rPr>
          <w:rFonts w:ascii="Arial" w:hAnsi="Arial" w:cs="Arial"/>
        </w:rPr>
        <w:t xml:space="preserve">Epping </w:t>
      </w:r>
      <w:r>
        <w:rPr>
          <w:rFonts w:ascii="Arial" w:hAnsi="Arial" w:cs="Arial"/>
        </w:rPr>
        <w:t xml:space="preserve">                  </w:t>
      </w:r>
      <w:r w:rsidRPr="00EE2344">
        <w:rPr>
          <w:rFonts w:ascii="Arial" w:hAnsi="Arial" w:cs="Arial"/>
        </w:rPr>
        <w:t>Forest, Harlow and Uttlesford districts</w:t>
      </w:r>
      <w:r>
        <w:rPr>
          <w:rFonts w:ascii="Arial" w:hAnsi="Arial" w:cs="Arial"/>
        </w:rPr>
        <w:t xml:space="preserve">, Brentwood Borough, </w:t>
      </w:r>
      <w:smartTag w:uri="urn:schemas-microsoft-com:office:smarttags" w:element="PlaceName">
        <w:r>
          <w:rPr>
            <w:rFonts w:ascii="Arial" w:hAnsi="Arial" w:cs="Arial"/>
          </w:rPr>
          <w:t>Chelmsford</w:t>
        </w:r>
      </w:smartTag>
      <w:r>
        <w:rPr>
          <w:rFonts w:ascii="Arial" w:hAnsi="Arial" w:cs="Arial"/>
        </w:rPr>
        <w:t xml:space="preserve"> </w:t>
      </w:r>
      <w:smartTag w:uri="urn:schemas-microsoft-com:office:smarttags" w:element="PlaceType">
        <w:r>
          <w:rPr>
            <w:rFonts w:ascii="Arial" w:hAnsi="Arial" w:cs="Arial"/>
          </w:rPr>
          <w:t>City</w:t>
        </w:r>
      </w:smartTag>
      <w:r w:rsidRPr="00EE2344">
        <w:rPr>
          <w:rFonts w:ascii="Arial" w:hAnsi="Arial" w:cs="Arial"/>
        </w:rPr>
        <w:t xml:space="preserve"> and Essex County Council, East Herts and Broxbourne districts and Hertfordshire County Counci</w:t>
      </w:r>
      <w:r>
        <w:rPr>
          <w:rFonts w:ascii="Arial" w:hAnsi="Arial" w:cs="Arial"/>
        </w:rPr>
        <w:t>l</w:t>
      </w:r>
      <w:r w:rsidRPr="00EE2344">
        <w:rPr>
          <w:rFonts w:ascii="Arial" w:hAnsi="Arial" w:cs="Arial"/>
        </w:rPr>
        <w:t>, and the London Bor</w:t>
      </w:r>
      <w:r>
        <w:rPr>
          <w:rFonts w:ascii="Arial" w:hAnsi="Arial" w:cs="Arial"/>
        </w:rPr>
        <w:t>o</w:t>
      </w:r>
      <w:r w:rsidRPr="00EE2344">
        <w:rPr>
          <w:rFonts w:ascii="Arial" w:hAnsi="Arial" w:cs="Arial"/>
        </w:rPr>
        <w:t xml:space="preserve">ughs of Waltham Forest, Redbridge and </w:t>
      </w:r>
      <w:smartTag w:uri="urn:schemas-microsoft-com:office:smarttags" w:element="place">
        <w:smartTag w:uri="urn:schemas-microsoft-com:office:smarttags" w:element="City">
          <w:r w:rsidRPr="00EE2344">
            <w:rPr>
              <w:rFonts w:ascii="Arial" w:hAnsi="Arial" w:cs="Arial"/>
            </w:rPr>
            <w:t>Enfield</w:t>
          </w:r>
        </w:smartTag>
      </w:smartTag>
      <w:r w:rsidRPr="00EE2344">
        <w:rPr>
          <w:rFonts w:ascii="Arial" w:hAnsi="Arial" w:cs="Arial"/>
        </w:rPr>
        <w:t xml:space="preserve">. </w:t>
      </w:r>
      <w:r>
        <w:rPr>
          <w:rFonts w:ascii="Arial" w:hAnsi="Arial" w:cs="Arial"/>
        </w:rPr>
        <w:t xml:space="preserve"> The GLA will be given Observer status and will be sent minutes of meetings and invited to engage at appropriate times. </w:t>
      </w:r>
      <w:r w:rsidRPr="00EE2344">
        <w:rPr>
          <w:rFonts w:ascii="Arial" w:hAnsi="Arial" w:cs="Arial"/>
        </w:rPr>
        <w:t xml:space="preserve"> </w:t>
      </w:r>
    </w:p>
    <w:p w14:paraId="62463A26" w14:textId="3B1A27FB" w:rsidR="00B001F4" w:rsidRPr="00EE2344" w:rsidRDefault="005F5F13" w:rsidP="00B001F4">
      <w:pPr>
        <w:pStyle w:val="FootnoteText"/>
        <w:spacing w:after="120"/>
        <w:ind w:left="567" w:hanging="567"/>
        <w:jc w:val="both"/>
        <w:rPr>
          <w:rFonts w:ascii="Arial" w:hAnsi="Arial" w:cs="Arial"/>
        </w:rPr>
      </w:pPr>
      <w:r w:rsidRPr="005B454E">
        <w:rPr>
          <w:rFonts w:ascii="Arial" w:hAnsi="Arial" w:cs="Arial"/>
        </w:rPr>
        <w:t xml:space="preserve"> </w:t>
      </w:r>
      <w:r w:rsidR="00B001F4">
        <w:rPr>
          <w:rFonts w:ascii="Arial" w:hAnsi="Arial" w:cs="Arial"/>
        </w:rPr>
        <w:t>2.3</w:t>
      </w:r>
      <w:r w:rsidRPr="005B454E">
        <w:rPr>
          <w:rFonts w:ascii="Arial" w:hAnsi="Arial" w:cs="Arial"/>
        </w:rPr>
        <w:t xml:space="preserve">Each </w:t>
      </w:r>
      <w:r>
        <w:rPr>
          <w:rFonts w:ascii="Arial" w:hAnsi="Arial" w:cs="Arial"/>
        </w:rPr>
        <w:t>core member a</w:t>
      </w:r>
      <w:r w:rsidRPr="005B454E">
        <w:rPr>
          <w:rFonts w:ascii="Arial" w:hAnsi="Arial" w:cs="Arial"/>
        </w:rPr>
        <w:t>uthority will be invited to contribute to the work programme and to consider strategic planning issues that impact on the wider area.  Other</w:t>
      </w:r>
      <w:r w:rsidRPr="00EE2344">
        <w:rPr>
          <w:rFonts w:ascii="Arial" w:hAnsi="Arial" w:cs="Arial"/>
        </w:rPr>
        <w:t xml:space="preserve"> authorities</w:t>
      </w:r>
      <w:r w:rsidRPr="005B454E">
        <w:rPr>
          <w:rFonts w:ascii="Arial" w:hAnsi="Arial" w:cs="Arial"/>
        </w:rPr>
        <w:t xml:space="preserve"> may be invited to attend on an occasional basis if an issue being considered is likely to have a significant impact on the authority’s planning area.  </w:t>
      </w:r>
      <w:r w:rsidR="00B001F4">
        <w:rPr>
          <w:rFonts w:ascii="Arial" w:hAnsi="Arial" w:cs="Arial"/>
        </w:rPr>
        <w:t xml:space="preserve">Where appropriate representatives from the </w:t>
      </w:r>
      <w:bookmarkStart w:id="2" w:name="_Hlk523926953"/>
      <w:r w:rsidR="00B001F4">
        <w:rPr>
          <w:rFonts w:ascii="Arial" w:hAnsi="Arial" w:cs="Arial"/>
        </w:rPr>
        <w:t>Lee Valley Regional Park Authority, the Conservators of Epping Forest (City of London), Natural England, the Environment Agency and Highways England and other statutory bodies will be invited to attend.</w:t>
      </w:r>
      <w:bookmarkEnd w:id="2"/>
    </w:p>
    <w:p w14:paraId="3B31C17F" w14:textId="77777777" w:rsidR="005F5F13" w:rsidRPr="005B454E" w:rsidRDefault="00B001F4" w:rsidP="00F16347">
      <w:pPr>
        <w:spacing w:after="120" w:line="240" w:lineRule="auto"/>
        <w:ind w:left="567" w:hanging="567"/>
        <w:jc w:val="both"/>
        <w:rPr>
          <w:rFonts w:ascii="Arial" w:hAnsi="Arial" w:cs="Arial"/>
          <w:sz w:val="24"/>
          <w:szCs w:val="24"/>
        </w:rPr>
      </w:pPr>
      <w:r>
        <w:rPr>
          <w:rFonts w:ascii="Arial" w:hAnsi="Arial" w:cs="Arial"/>
          <w:sz w:val="24"/>
          <w:szCs w:val="24"/>
        </w:rPr>
        <w:t>2.4</w:t>
      </w:r>
      <w:r>
        <w:rPr>
          <w:rFonts w:ascii="Arial" w:hAnsi="Arial" w:cs="Arial"/>
          <w:sz w:val="24"/>
          <w:szCs w:val="24"/>
        </w:rPr>
        <w:tab/>
      </w:r>
      <w:r w:rsidR="005F5F13" w:rsidRPr="005B454E">
        <w:rPr>
          <w:rFonts w:ascii="Arial" w:hAnsi="Arial" w:cs="Arial"/>
          <w:sz w:val="24"/>
          <w:szCs w:val="24"/>
        </w:rPr>
        <w:t>Each c</w:t>
      </w:r>
      <w:r w:rsidR="005F5F13">
        <w:rPr>
          <w:rFonts w:ascii="Arial" w:hAnsi="Arial" w:cs="Arial"/>
          <w:sz w:val="24"/>
          <w:szCs w:val="24"/>
        </w:rPr>
        <w:t>ore member authority</w:t>
      </w:r>
      <w:r w:rsidR="005F5F13" w:rsidRPr="005B454E">
        <w:rPr>
          <w:rFonts w:ascii="Arial" w:hAnsi="Arial" w:cs="Arial"/>
          <w:sz w:val="24"/>
          <w:szCs w:val="24"/>
        </w:rPr>
        <w:t xml:space="preserve"> will be represented on the Board by the relevant holder of the </w:t>
      </w:r>
      <w:r w:rsidR="005F5F13">
        <w:rPr>
          <w:rFonts w:ascii="Arial" w:hAnsi="Arial" w:cs="Arial"/>
          <w:sz w:val="24"/>
          <w:szCs w:val="24"/>
        </w:rPr>
        <w:t>P</w:t>
      </w:r>
      <w:r w:rsidR="005F5F13" w:rsidRPr="005B454E">
        <w:rPr>
          <w:rFonts w:ascii="Arial" w:hAnsi="Arial" w:cs="Arial"/>
          <w:sz w:val="24"/>
          <w:szCs w:val="24"/>
        </w:rPr>
        <w:t>lanning portfolio</w:t>
      </w:r>
      <w:r w:rsidR="005F5F13" w:rsidRPr="00EE2344">
        <w:rPr>
          <w:rFonts w:ascii="Arial" w:hAnsi="Arial" w:cs="Arial"/>
          <w:sz w:val="24"/>
          <w:szCs w:val="24"/>
        </w:rPr>
        <w:t xml:space="preserve"> or Leader as appropriate,</w:t>
      </w:r>
      <w:r w:rsidR="005F5F13" w:rsidRPr="005B454E">
        <w:rPr>
          <w:rFonts w:ascii="Arial" w:hAnsi="Arial" w:cs="Arial"/>
          <w:sz w:val="24"/>
          <w:szCs w:val="24"/>
        </w:rPr>
        <w:t xml:space="preserve"> to ensure confidence </w:t>
      </w:r>
      <w:r w:rsidR="005F5F13" w:rsidRPr="005B454E">
        <w:rPr>
          <w:rFonts w:ascii="Arial" w:hAnsi="Arial" w:cs="Arial"/>
          <w:sz w:val="24"/>
          <w:szCs w:val="24"/>
        </w:rPr>
        <w:lastRenderedPageBreak/>
        <w:t>of authority and commitment to resources.</w:t>
      </w:r>
      <w:r w:rsidR="005F5F13">
        <w:rPr>
          <w:rStyle w:val="FootnoteReference"/>
          <w:rFonts w:ascii="Arial" w:hAnsi="Arial"/>
          <w:sz w:val="24"/>
          <w:szCs w:val="24"/>
        </w:rPr>
        <w:footnoteReference w:id="6"/>
      </w:r>
      <w:r w:rsidR="005F5F13">
        <w:rPr>
          <w:rFonts w:ascii="Arial" w:hAnsi="Arial" w:cs="Arial"/>
          <w:sz w:val="24"/>
          <w:szCs w:val="24"/>
        </w:rPr>
        <w:t xml:space="preserve"> Officers may attend meetings in support of members. </w:t>
      </w:r>
    </w:p>
    <w:p w14:paraId="7ED906B1" w14:textId="757C8F4A" w:rsidR="005F5F13" w:rsidRPr="005B454E"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2.</w:t>
      </w:r>
      <w:r w:rsidR="00B001F4">
        <w:rPr>
          <w:rFonts w:ascii="Arial" w:hAnsi="Arial" w:cs="Arial"/>
          <w:sz w:val="24"/>
          <w:szCs w:val="24"/>
        </w:rPr>
        <w:t>5</w:t>
      </w:r>
      <w:r w:rsidRPr="005B454E">
        <w:rPr>
          <w:rFonts w:ascii="Arial" w:hAnsi="Arial" w:cs="Arial"/>
          <w:sz w:val="24"/>
          <w:szCs w:val="24"/>
        </w:rPr>
        <w:tab/>
        <w:t xml:space="preserve">Regular feedback and briefing to the constituent members’ political and corporate leadership </w:t>
      </w:r>
      <w:r>
        <w:rPr>
          <w:rFonts w:ascii="Arial" w:hAnsi="Arial" w:cs="Arial"/>
          <w:sz w:val="24"/>
          <w:szCs w:val="24"/>
        </w:rPr>
        <w:t xml:space="preserve">is the responsibility of member representatives, and </w:t>
      </w:r>
      <w:r w:rsidRPr="005B454E">
        <w:rPr>
          <w:rFonts w:ascii="Arial" w:hAnsi="Arial" w:cs="Arial"/>
          <w:sz w:val="24"/>
          <w:szCs w:val="24"/>
        </w:rPr>
        <w:t>should be used as a way of ensuring wider ownership and support for the Board’s work as it progresses. There should also be appropriate liaison between the local authority representatives of both the Board and the</w:t>
      </w:r>
      <w:r w:rsidRPr="00EE2344">
        <w:rPr>
          <w:rFonts w:ascii="Arial" w:hAnsi="Arial" w:cs="Arial"/>
          <w:sz w:val="24"/>
          <w:szCs w:val="24"/>
        </w:rPr>
        <w:t xml:space="preserve"> South East</w:t>
      </w:r>
      <w:r>
        <w:rPr>
          <w:rFonts w:ascii="Arial" w:hAnsi="Arial" w:cs="Arial"/>
          <w:sz w:val="24"/>
          <w:szCs w:val="24"/>
        </w:rPr>
        <w:t xml:space="preserve">, Hertfordshire, Greater Cambridge and Greater Peterborough </w:t>
      </w:r>
      <w:r w:rsidRPr="00EE2344">
        <w:rPr>
          <w:rFonts w:ascii="Arial" w:hAnsi="Arial" w:cs="Arial"/>
          <w:sz w:val="24"/>
          <w:szCs w:val="24"/>
        </w:rPr>
        <w:t>Local Economic Partnerships</w:t>
      </w:r>
      <w:r>
        <w:rPr>
          <w:rFonts w:ascii="Arial" w:hAnsi="Arial" w:cs="Arial"/>
          <w:sz w:val="24"/>
          <w:szCs w:val="24"/>
        </w:rPr>
        <w:t>, and London Enterprise Panel</w:t>
      </w:r>
    </w:p>
    <w:p w14:paraId="66E2A12B" w14:textId="6804C8EB" w:rsidR="005F5F13"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2.</w:t>
      </w:r>
      <w:r w:rsidR="00B001F4">
        <w:rPr>
          <w:rFonts w:ascii="Arial" w:hAnsi="Arial" w:cs="Arial"/>
          <w:sz w:val="24"/>
          <w:szCs w:val="24"/>
        </w:rPr>
        <w:t>6</w:t>
      </w:r>
      <w:r w:rsidRPr="005B454E">
        <w:rPr>
          <w:rFonts w:ascii="Arial" w:hAnsi="Arial" w:cs="Arial"/>
          <w:sz w:val="24"/>
          <w:szCs w:val="24"/>
        </w:rPr>
        <w:tab/>
        <w:t xml:space="preserve">The Chairman of the Board will be appointed on a rotating basis which should be reviewed </w:t>
      </w:r>
      <w:r w:rsidRPr="00EE2344">
        <w:rPr>
          <w:rFonts w:ascii="Arial" w:hAnsi="Arial" w:cs="Arial"/>
          <w:sz w:val="24"/>
          <w:szCs w:val="24"/>
        </w:rPr>
        <w:t xml:space="preserve">at least annually </w:t>
      </w:r>
      <w:r w:rsidRPr="005B454E">
        <w:rPr>
          <w:rFonts w:ascii="Arial" w:hAnsi="Arial" w:cs="Arial"/>
          <w:sz w:val="24"/>
          <w:szCs w:val="24"/>
        </w:rPr>
        <w:t>to ensure fair and equal opportunities amongst the constituent member authorities.</w:t>
      </w:r>
      <w:r>
        <w:rPr>
          <w:rFonts w:ascii="Arial" w:hAnsi="Arial" w:cs="Arial"/>
          <w:sz w:val="24"/>
          <w:szCs w:val="24"/>
        </w:rPr>
        <w:t xml:space="preserve"> </w:t>
      </w:r>
      <w:r w:rsidRPr="005D35FB">
        <w:rPr>
          <w:rFonts w:ascii="Arial" w:hAnsi="Arial" w:cs="Arial"/>
          <w:sz w:val="24"/>
          <w:szCs w:val="24"/>
        </w:rPr>
        <w:t xml:space="preserve">Officers of the </w:t>
      </w:r>
      <w:r w:rsidR="000A08C6" w:rsidRPr="005D35FB">
        <w:rPr>
          <w:rFonts w:ascii="Arial" w:hAnsi="Arial" w:cs="Arial"/>
          <w:sz w:val="24"/>
          <w:szCs w:val="24"/>
        </w:rPr>
        <w:t>Garden Town team</w:t>
      </w:r>
      <w:r w:rsidRPr="005D35FB">
        <w:rPr>
          <w:rFonts w:ascii="Arial" w:hAnsi="Arial" w:cs="Arial"/>
          <w:sz w:val="24"/>
          <w:szCs w:val="24"/>
        </w:rPr>
        <w:t xml:space="preserve"> will provide administrative and clerical support to meetings</w:t>
      </w:r>
      <w:r>
        <w:rPr>
          <w:rFonts w:ascii="Arial" w:hAnsi="Arial" w:cs="Arial"/>
          <w:sz w:val="24"/>
          <w:szCs w:val="24"/>
        </w:rPr>
        <w:t>.</w:t>
      </w:r>
    </w:p>
    <w:p w14:paraId="1F4DEBFA" w14:textId="77777777" w:rsidR="00B001F4" w:rsidRDefault="00B001F4" w:rsidP="00F16347">
      <w:pPr>
        <w:spacing w:after="120" w:line="240" w:lineRule="auto"/>
        <w:ind w:left="567" w:hanging="567"/>
        <w:jc w:val="both"/>
        <w:rPr>
          <w:rFonts w:ascii="Arial" w:hAnsi="Arial" w:cs="Arial"/>
          <w:sz w:val="24"/>
          <w:szCs w:val="24"/>
        </w:rPr>
      </w:pPr>
    </w:p>
    <w:p w14:paraId="0B62AB3E" w14:textId="1A9CC307" w:rsidR="00B001F4" w:rsidRPr="005B454E" w:rsidRDefault="00B001F4" w:rsidP="00F16347">
      <w:pPr>
        <w:spacing w:after="120" w:line="240" w:lineRule="auto"/>
        <w:ind w:left="567" w:hanging="567"/>
        <w:jc w:val="both"/>
        <w:rPr>
          <w:rFonts w:ascii="Arial" w:hAnsi="Arial" w:cs="Arial"/>
          <w:sz w:val="24"/>
          <w:szCs w:val="24"/>
        </w:rPr>
      </w:pPr>
      <w:r>
        <w:rPr>
          <w:rFonts w:ascii="Arial" w:hAnsi="Arial" w:cs="Arial"/>
          <w:sz w:val="24"/>
          <w:szCs w:val="24"/>
        </w:rPr>
        <w:t>2.7   The Board will</w:t>
      </w:r>
      <w:r w:rsidR="000A08C6">
        <w:rPr>
          <w:rFonts w:ascii="Arial" w:hAnsi="Arial" w:cs="Arial"/>
          <w:sz w:val="24"/>
          <w:szCs w:val="24"/>
        </w:rPr>
        <w:t xml:space="preserve"> normally</w:t>
      </w:r>
      <w:r>
        <w:rPr>
          <w:rFonts w:ascii="Arial" w:hAnsi="Arial" w:cs="Arial"/>
          <w:sz w:val="24"/>
          <w:szCs w:val="24"/>
        </w:rPr>
        <w:t xml:space="preserve"> meet </w:t>
      </w:r>
      <w:r w:rsidR="00623B09">
        <w:rPr>
          <w:rFonts w:ascii="Arial" w:hAnsi="Arial" w:cs="Arial"/>
          <w:sz w:val="24"/>
          <w:szCs w:val="24"/>
        </w:rPr>
        <w:t xml:space="preserve">every two months </w:t>
      </w:r>
      <w:r>
        <w:rPr>
          <w:rFonts w:ascii="Arial" w:hAnsi="Arial" w:cs="Arial"/>
          <w:sz w:val="24"/>
          <w:szCs w:val="24"/>
        </w:rPr>
        <w:t xml:space="preserve">with meetings commencing at 6.30pm and will normally </w:t>
      </w:r>
      <w:r w:rsidR="000A08C6">
        <w:rPr>
          <w:rFonts w:ascii="Arial" w:hAnsi="Arial" w:cs="Arial"/>
          <w:sz w:val="24"/>
          <w:szCs w:val="24"/>
        </w:rPr>
        <w:t>pr</w:t>
      </w:r>
      <w:r w:rsidR="0044569B">
        <w:rPr>
          <w:rFonts w:ascii="Arial" w:hAnsi="Arial" w:cs="Arial"/>
          <w:sz w:val="24"/>
          <w:szCs w:val="24"/>
        </w:rPr>
        <w:t>ecede</w:t>
      </w:r>
      <w:r w:rsidR="000A08C6">
        <w:rPr>
          <w:rFonts w:ascii="Arial" w:hAnsi="Arial" w:cs="Arial"/>
          <w:sz w:val="24"/>
          <w:szCs w:val="24"/>
        </w:rPr>
        <w:t xml:space="preserve"> Garden Town Member Board meetings and will be held at venues within the Garden Town area.  </w:t>
      </w:r>
      <w:r>
        <w:rPr>
          <w:rFonts w:ascii="Arial" w:hAnsi="Arial" w:cs="Arial"/>
          <w:sz w:val="24"/>
          <w:szCs w:val="24"/>
        </w:rPr>
        <w:t xml:space="preserve"> </w:t>
      </w:r>
    </w:p>
    <w:p w14:paraId="63501FB2" w14:textId="77777777" w:rsidR="005F5F13" w:rsidRPr="005B454E" w:rsidRDefault="005F5F13" w:rsidP="00F16347">
      <w:pPr>
        <w:spacing w:after="120" w:line="240" w:lineRule="auto"/>
        <w:ind w:left="1145" w:hanging="1145"/>
        <w:rPr>
          <w:rFonts w:ascii="Arial" w:hAnsi="Arial" w:cs="Arial"/>
          <w:b/>
          <w:sz w:val="24"/>
          <w:szCs w:val="24"/>
        </w:rPr>
      </w:pPr>
    </w:p>
    <w:p w14:paraId="13DCD605" w14:textId="77777777" w:rsidR="005F5F13" w:rsidRPr="005B454E" w:rsidRDefault="005F5F13" w:rsidP="00F16347">
      <w:pPr>
        <w:spacing w:after="120" w:line="240" w:lineRule="auto"/>
        <w:ind w:left="1145" w:hanging="1145"/>
        <w:rPr>
          <w:rFonts w:ascii="Arial" w:hAnsi="Arial" w:cs="Arial"/>
          <w:b/>
          <w:sz w:val="24"/>
          <w:szCs w:val="24"/>
        </w:rPr>
      </w:pPr>
      <w:r w:rsidRPr="005B454E">
        <w:rPr>
          <w:rFonts w:ascii="Arial" w:hAnsi="Arial" w:cs="Arial"/>
          <w:b/>
          <w:sz w:val="24"/>
          <w:szCs w:val="24"/>
        </w:rPr>
        <w:t xml:space="preserve">3.  Ways of Working </w:t>
      </w:r>
    </w:p>
    <w:p w14:paraId="1A0B35F1" w14:textId="29FE88AF" w:rsidR="005F5F13" w:rsidRPr="005B454E"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3.1</w:t>
      </w:r>
      <w:r w:rsidRPr="005B454E">
        <w:rPr>
          <w:rFonts w:ascii="Arial" w:hAnsi="Arial" w:cs="Arial"/>
          <w:sz w:val="24"/>
          <w:szCs w:val="24"/>
        </w:rPr>
        <w:tab/>
        <w:t>Refer to Diagram in Annex 1 for details of working arrangements.</w:t>
      </w:r>
      <w:r w:rsidRPr="00EE2344">
        <w:rPr>
          <w:rFonts w:ascii="Arial" w:hAnsi="Arial" w:cs="Arial"/>
          <w:sz w:val="24"/>
          <w:szCs w:val="24"/>
        </w:rPr>
        <w:t xml:space="preserve"> </w:t>
      </w:r>
      <w:r w:rsidRPr="005D35FB">
        <w:rPr>
          <w:rFonts w:ascii="Arial" w:hAnsi="Arial" w:cs="Arial"/>
          <w:sz w:val="24"/>
          <w:szCs w:val="24"/>
        </w:rPr>
        <w:t>The Board will agree a work programme, including steering and management arrangements for each project, on an annual basis. This could include setting up ‘task and finish’ groups for specific projects, either reporting directly to the Board or on a shared basis with other bodies</w:t>
      </w:r>
      <w:r w:rsidRPr="00861A32">
        <w:rPr>
          <w:rFonts w:ascii="Arial" w:hAnsi="Arial" w:cs="Arial"/>
          <w:sz w:val="24"/>
          <w:szCs w:val="24"/>
        </w:rPr>
        <w:t>.</w:t>
      </w:r>
      <w:r w:rsidRPr="00EE2344">
        <w:rPr>
          <w:rFonts w:ascii="Arial" w:hAnsi="Arial" w:cs="Arial"/>
          <w:sz w:val="24"/>
          <w:szCs w:val="24"/>
        </w:rPr>
        <w:t xml:space="preserve"> </w:t>
      </w:r>
      <w:r>
        <w:rPr>
          <w:rFonts w:ascii="Arial" w:hAnsi="Arial" w:cs="Arial"/>
          <w:sz w:val="24"/>
          <w:szCs w:val="24"/>
        </w:rPr>
        <w:t xml:space="preserve"> </w:t>
      </w:r>
      <w:r w:rsidRPr="005B454E">
        <w:rPr>
          <w:rFonts w:ascii="Arial" w:hAnsi="Arial" w:cs="Arial"/>
          <w:sz w:val="24"/>
          <w:szCs w:val="24"/>
        </w:rPr>
        <w:t>In the interests of transparency, notes of the Board’s meetings will be public</w:t>
      </w:r>
      <w:r>
        <w:rPr>
          <w:rFonts w:ascii="Arial" w:hAnsi="Arial" w:cs="Arial"/>
          <w:sz w:val="24"/>
          <w:szCs w:val="24"/>
        </w:rPr>
        <w:t>l</w:t>
      </w:r>
      <w:r w:rsidRPr="005B454E">
        <w:rPr>
          <w:rFonts w:ascii="Arial" w:hAnsi="Arial" w:cs="Arial"/>
          <w:sz w:val="24"/>
          <w:szCs w:val="24"/>
        </w:rPr>
        <w:t>y available</w:t>
      </w:r>
      <w:r>
        <w:rPr>
          <w:rFonts w:ascii="Arial" w:hAnsi="Arial" w:cs="Arial"/>
          <w:sz w:val="24"/>
          <w:szCs w:val="24"/>
        </w:rPr>
        <w:t xml:space="preserve"> once they have been agreed</w:t>
      </w:r>
      <w:r w:rsidRPr="005B454E">
        <w:rPr>
          <w:rFonts w:ascii="Arial" w:hAnsi="Arial" w:cs="Arial"/>
          <w:sz w:val="24"/>
          <w:szCs w:val="24"/>
        </w:rPr>
        <w:t xml:space="preserve">. </w:t>
      </w:r>
    </w:p>
    <w:p w14:paraId="3B2113E6" w14:textId="77777777" w:rsidR="005F5F13" w:rsidRPr="005B454E"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3.2</w:t>
      </w:r>
      <w:r w:rsidRPr="005B454E">
        <w:rPr>
          <w:rFonts w:ascii="Arial" w:hAnsi="Arial" w:cs="Arial"/>
          <w:sz w:val="24"/>
          <w:szCs w:val="24"/>
        </w:rPr>
        <w:tab/>
        <w:t xml:space="preserve">The </w:t>
      </w:r>
      <w:r w:rsidRPr="00EE2344">
        <w:rPr>
          <w:rFonts w:ascii="Arial" w:hAnsi="Arial" w:cs="Arial"/>
          <w:sz w:val="24"/>
          <w:szCs w:val="24"/>
        </w:rPr>
        <w:t xml:space="preserve">Co-operation for Sustainable </w:t>
      </w:r>
      <w:r>
        <w:rPr>
          <w:rFonts w:ascii="Arial" w:hAnsi="Arial" w:cs="Arial"/>
          <w:sz w:val="24"/>
          <w:szCs w:val="24"/>
        </w:rPr>
        <w:t xml:space="preserve">Development </w:t>
      </w:r>
      <w:r w:rsidRPr="00EE2344">
        <w:rPr>
          <w:rFonts w:ascii="Arial" w:hAnsi="Arial" w:cs="Arial"/>
          <w:sz w:val="24"/>
          <w:szCs w:val="24"/>
        </w:rPr>
        <w:t>Officer Group will</w:t>
      </w:r>
      <w:r w:rsidRPr="005B454E">
        <w:rPr>
          <w:rFonts w:ascii="Arial" w:hAnsi="Arial" w:cs="Arial"/>
          <w:sz w:val="24"/>
          <w:szCs w:val="24"/>
        </w:rPr>
        <w:t xml:space="preserve"> provide either direct advice or support</w:t>
      </w:r>
      <w:r>
        <w:rPr>
          <w:rFonts w:ascii="Arial" w:hAnsi="Arial" w:cs="Arial"/>
          <w:sz w:val="24"/>
          <w:szCs w:val="24"/>
        </w:rPr>
        <w:t>,</w:t>
      </w:r>
      <w:r w:rsidRPr="005B454E">
        <w:rPr>
          <w:rFonts w:ascii="Arial" w:hAnsi="Arial" w:cs="Arial"/>
          <w:sz w:val="24"/>
          <w:szCs w:val="24"/>
        </w:rPr>
        <w:t xml:space="preserve"> </w:t>
      </w:r>
      <w:r>
        <w:rPr>
          <w:rFonts w:ascii="Arial" w:hAnsi="Arial" w:cs="Arial"/>
          <w:sz w:val="24"/>
          <w:szCs w:val="24"/>
        </w:rPr>
        <w:t>and/</w:t>
      </w:r>
      <w:r w:rsidRPr="005B454E">
        <w:rPr>
          <w:rFonts w:ascii="Arial" w:hAnsi="Arial" w:cs="Arial"/>
          <w:sz w:val="24"/>
          <w:szCs w:val="24"/>
        </w:rPr>
        <w:t>or deliver agreed projects.</w:t>
      </w:r>
    </w:p>
    <w:p w14:paraId="7F0544FA" w14:textId="77777777" w:rsidR="005F5F13" w:rsidRPr="005B454E"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3.3</w:t>
      </w:r>
      <w:r w:rsidRPr="005B454E">
        <w:rPr>
          <w:rFonts w:ascii="Arial" w:hAnsi="Arial" w:cs="Arial"/>
          <w:sz w:val="24"/>
          <w:szCs w:val="24"/>
        </w:rPr>
        <w:tab/>
      </w:r>
      <w:r w:rsidRPr="00EE2344">
        <w:rPr>
          <w:rFonts w:ascii="Arial" w:hAnsi="Arial" w:cs="Arial"/>
          <w:sz w:val="24"/>
          <w:szCs w:val="24"/>
        </w:rPr>
        <w:t>Once the work programme has been established, g</w:t>
      </w:r>
      <w:r w:rsidRPr="005B454E">
        <w:rPr>
          <w:rFonts w:ascii="Arial" w:hAnsi="Arial" w:cs="Arial"/>
          <w:sz w:val="24"/>
          <w:szCs w:val="24"/>
        </w:rPr>
        <w:t xml:space="preserve">ood project management principles should be applied, such as risk management, particularly around political sensitivities and funding, and keeping the work programme under review to ensure that it is meeting the agreed objectives and the identified priorities remain relevant. </w:t>
      </w:r>
    </w:p>
    <w:p w14:paraId="083436A4" w14:textId="77777777" w:rsidR="005F5F13" w:rsidRPr="005B454E" w:rsidRDefault="005F5F13" w:rsidP="00F16347">
      <w:pPr>
        <w:spacing w:after="120" w:line="240" w:lineRule="auto"/>
        <w:ind w:left="1145" w:hanging="1145"/>
        <w:rPr>
          <w:rFonts w:ascii="Arial" w:hAnsi="Arial" w:cs="Arial"/>
          <w:b/>
          <w:sz w:val="24"/>
          <w:szCs w:val="24"/>
        </w:rPr>
      </w:pPr>
    </w:p>
    <w:p w14:paraId="5620E2F4" w14:textId="77777777" w:rsidR="005F5F13" w:rsidRPr="005B454E" w:rsidRDefault="005F5F13" w:rsidP="00F16347">
      <w:pPr>
        <w:spacing w:after="120" w:line="240" w:lineRule="auto"/>
        <w:ind w:left="1145" w:hanging="1145"/>
        <w:rPr>
          <w:rFonts w:ascii="Arial" w:hAnsi="Arial" w:cs="Arial"/>
          <w:b/>
          <w:sz w:val="24"/>
          <w:szCs w:val="24"/>
        </w:rPr>
      </w:pPr>
      <w:r w:rsidRPr="005B454E">
        <w:rPr>
          <w:rFonts w:ascii="Arial" w:hAnsi="Arial" w:cs="Arial"/>
          <w:b/>
          <w:sz w:val="24"/>
          <w:szCs w:val="24"/>
        </w:rPr>
        <w:t>4. Key relationships</w:t>
      </w:r>
    </w:p>
    <w:p w14:paraId="46AF9F61" w14:textId="7F3A96B7" w:rsidR="000A08C6"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4.1</w:t>
      </w:r>
      <w:r w:rsidRPr="005B454E">
        <w:rPr>
          <w:rFonts w:ascii="Arial" w:hAnsi="Arial" w:cs="Arial"/>
          <w:sz w:val="24"/>
          <w:szCs w:val="24"/>
        </w:rPr>
        <w:tab/>
      </w:r>
      <w:r w:rsidR="003E6D66">
        <w:rPr>
          <w:rFonts w:ascii="Arial" w:hAnsi="Arial" w:cs="Arial"/>
          <w:sz w:val="24"/>
          <w:szCs w:val="24"/>
        </w:rPr>
        <w:t xml:space="preserve">Harlow and </w:t>
      </w:r>
      <w:proofErr w:type="spellStart"/>
      <w:r w:rsidR="003E6D66">
        <w:rPr>
          <w:rFonts w:ascii="Arial" w:hAnsi="Arial" w:cs="Arial"/>
          <w:sz w:val="24"/>
          <w:szCs w:val="24"/>
        </w:rPr>
        <w:t>Gilston</w:t>
      </w:r>
      <w:proofErr w:type="spellEnd"/>
      <w:r w:rsidR="003E6D66">
        <w:rPr>
          <w:rFonts w:ascii="Arial" w:hAnsi="Arial" w:cs="Arial"/>
          <w:sz w:val="24"/>
          <w:szCs w:val="24"/>
        </w:rPr>
        <w:t xml:space="preserve"> </w:t>
      </w:r>
      <w:r w:rsidR="000A08C6">
        <w:rPr>
          <w:rFonts w:ascii="Arial" w:hAnsi="Arial" w:cs="Arial"/>
          <w:sz w:val="24"/>
          <w:szCs w:val="24"/>
        </w:rPr>
        <w:t>Garden Town Member Board</w:t>
      </w:r>
      <w:r w:rsidR="003E6D66">
        <w:rPr>
          <w:rFonts w:ascii="Arial" w:hAnsi="Arial" w:cs="Arial"/>
          <w:sz w:val="24"/>
          <w:szCs w:val="24"/>
        </w:rPr>
        <w:t xml:space="preserve"> – Following the designation of the </w:t>
      </w:r>
      <w:r w:rsidR="005C360A">
        <w:rPr>
          <w:rFonts w:ascii="Arial" w:hAnsi="Arial" w:cs="Arial"/>
          <w:sz w:val="24"/>
          <w:szCs w:val="24"/>
        </w:rPr>
        <w:t>H</w:t>
      </w:r>
      <w:r w:rsidR="003E6D66">
        <w:rPr>
          <w:rFonts w:ascii="Arial" w:hAnsi="Arial" w:cs="Arial"/>
          <w:sz w:val="24"/>
          <w:szCs w:val="24"/>
        </w:rPr>
        <w:t xml:space="preserve">arlow and </w:t>
      </w:r>
      <w:proofErr w:type="spellStart"/>
      <w:r w:rsidR="003E6D66">
        <w:rPr>
          <w:rFonts w:ascii="Arial" w:hAnsi="Arial" w:cs="Arial"/>
          <w:sz w:val="24"/>
          <w:szCs w:val="24"/>
        </w:rPr>
        <w:t>Gilston</w:t>
      </w:r>
      <w:proofErr w:type="spellEnd"/>
      <w:r w:rsidR="003E6D66">
        <w:rPr>
          <w:rFonts w:ascii="Arial" w:hAnsi="Arial" w:cs="Arial"/>
          <w:sz w:val="24"/>
          <w:szCs w:val="24"/>
        </w:rPr>
        <w:t xml:space="preserve"> area as a Garden Town</w:t>
      </w:r>
      <w:r w:rsidR="005C360A">
        <w:rPr>
          <w:rFonts w:ascii="Arial" w:hAnsi="Arial" w:cs="Arial"/>
          <w:sz w:val="24"/>
          <w:szCs w:val="24"/>
        </w:rPr>
        <w:t xml:space="preserve"> in January 2017, the Coop Board have worked closely with the Garden Town authorities of East Herts, Epping Forest and Harlow District councils along with Essex and Hertfordshire </w:t>
      </w:r>
      <w:r w:rsidR="0044569B">
        <w:rPr>
          <w:rFonts w:ascii="Arial" w:hAnsi="Arial" w:cs="Arial"/>
          <w:sz w:val="24"/>
          <w:szCs w:val="24"/>
        </w:rPr>
        <w:t>C</w:t>
      </w:r>
      <w:r w:rsidR="005C360A">
        <w:rPr>
          <w:rFonts w:ascii="Arial" w:hAnsi="Arial" w:cs="Arial"/>
          <w:sz w:val="24"/>
          <w:szCs w:val="24"/>
        </w:rPr>
        <w:t xml:space="preserve">ounty </w:t>
      </w:r>
      <w:r w:rsidR="0044569B">
        <w:rPr>
          <w:rFonts w:ascii="Arial" w:hAnsi="Arial" w:cs="Arial"/>
          <w:sz w:val="24"/>
          <w:szCs w:val="24"/>
        </w:rPr>
        <w:t>C</w:t>
      </w:r>
      <w:r w:rsidR="005C360A">
        <w:rPr>
          <w:rFonts w:ascii="Arial" w:hAnsi="Arial" w:cs="Arial"/>
          <w:sz w:val="24"/>
          <w:szCs w:val="24"/>
        </w:rPr>
        <w:t xml:space="preserve">ouncils (and the establishment of the Member Board) to ensure that </w:t>
      </w:r>
      <w:r w:rsidR="005C360A">
        <w:rPr>
          <w:rFonts w:ascii="Arial" w:hAnsi="Arial" w:cs="Arial"/>
          <w:sz w:val="24"/>
          <w:szCs w:val="24"/>
        </w:rPr>
        <w:lastRenderedPageBreak/>
        <w:t xml:space="preserve">good quality villages and neighbourhoods, homes, jobs and infrastructure are provide for new and existing residents in and around the Harlow area.  </w:t>
      </w:r>
    </w:p>
    <w:p w14:paraId="5A8225ED" w14:textId="77777777" w:rsidR="000A08C6" w:rsidRDefault="000A08C6" w:rsidP="00F16347">
      <w:pPr>
        <w:spacing w:after="120" w:line="240" w:lineRule="auto"/>
        <w:ind w:left="567" w:hanging="567"/>
        <w:jc w:val="both"/>
        <w:rPr>
          <w:rFonts w:ascii="Arial" w:hAnsi="Arial" w:cs="Arial"/>
          <w:b/>
          <w:sz w:val="24"/>
          <w:szCs w:val="24"/>
        </w:rPr>
      </w:pPr>
    </w:p>
    <w:p w14:paraId="4DF5DF32" w14:textId="77777777" w:rsidR="005F5F13" w:rsidRPr="00EE2344" w:rsidRDefault="000A08C6" w:rsidP="00F16347">
      <w:pPr>
        <w:spacing w:after="120" w:line="240" w:lineRule="auto"/>
        <w:ind w:left="567" w:hanging="567"/>
        <w:jc w:val="both"/>
        <w:rPr>
          <w:rFonts w:ascii="Arial" w:hAnsi="Arial" w:cs="Arial"/>
          <w:sz w:val="24"/>
          <w:szCs w:val="24"/>
        </w:rPr>
      </w:pPr>
      <w:r>
        <w:rPr>
          <w:rFonts w:ascii="Arial" w:hAnsi="Arial" w:cs="Arial"/>
          <w:b/>
          <w:sz w:val="24"/>
          <w:szCs w:val="24"/>
        </w:rPr>
        <w:t>4.2</w:t>
      </w:r>
      <w:r>
        <w:rPr>
          <w:rFonts w:ascii="Arial" w:hAnsi="Arial" w:cs="Arial"/>
          <w:b/>
          <w:sz w:val="24"/>
          <w:szCs w:val="24"/>
        </w:rPr>
        <w:tab/>
      </w:r>
      <w:r w:rsidR="005F5F13" w:rsidRPr="00EE2344">
        <w:rPr>
          <w:rFonts w:ascii="Arial" w:hAnsi="Arial" w:cs="Arial"/>
          <w:b/>
          <w:sz w:val="24"/>
          <w:szCs w:val="24"/>
        </w:rPr>
        <w:t>South East Local Economic</w:t>
      </w:r>
      <w:r w:rsidR="005F5F13" w:rsidRPr="00EE2344">
        <w:rPr>
          <w:rFonts w:ascii="Arial" w:hAnsi="Arial" w:cs="Arial"/>
          <w:sz w:val="24"/>
          <w:szCs w:val="24"/>
        </w:rPr>
        <w:t xml:space="preserve"> </w:t>
      </w:r>
      <w:r w:rsidR="005F5F13" w:rsidRPr="005B454E">
        <w:rPr>
          <w:rFonts w:ascii="Arial" w:hAnsi="Arial" w:cs="Arial"/>
          <w:b/>
          <w:sz w:val="24"/>
          <w:szCs w:val="24"/>
        </w:rPr>
        <w:t>Partnership</w:t>
      </w:r>
      <w:r w:rsidR="005F5F13" w:rsidRPr="005B454E">
        <w:rPr>
          <w:rFonts w:ascii="Arial" w:hAnsi="Arial" w:cs="Arial"/>
          <w:sz w:val="24"/>
          <w:szCs w:val="24"/>
        </w:rPr>
        <w:t xml:space="preserve">: The Board will work closely with </w:t>
      </w:r>
      <w:r w:rsidR="005F5F13" w:rsidRPr="00EE2344">
        <w:rPr>
          <w:rFonts w:ascii="Arial" w:hAnsi="Arial" w:cs="Arial"/>
          <w:sz w:val="24"/>
          <w:szCs w:val="24"/>
        </w:rPr>
        <w:t xml:space="preserve">SELEP </w:t>
      </w:r>
      <w:r w:rsidR="005F5F13" w:rsidRPr="005B454E">
        <w:rPr>
          <w:rFonts w:ascii="Arial" w:hAnsi="Arial" w:cs="Arial"/>
          <w:sz w:val="24"/>
          <w:szCs w:val="24"/>
        </w:rPr>
        <w:t xml:space="preserve">to ensure the long term integration of strategic planning and investment priorities.  The </w:t>
      </w:r>
      <w:r w:rsidR="005F5F13" w:rsidRPr="00EE2344">
        <w:rPr>
          <w:rFonts w:ascii="Arial" w:hAnsi="Arial" w:cs="Arial"/>
          <w:sz w:val="24"/>
          <w:szCs w:val="24"/>
        </w:rPr>
        <w:t>LEP</w:t>
      </w:r>
      <w:r w:rsidR="005F5F13">
        <w:rPr>
          <w:rFonts w:ascii="Arial" w:hAnsi="Arial" w:cs="Arial"/>
          <w:sz w:val="24"/>
          <w:szCs w:val="24"/>
        </w:rPr>
        <w:t xml:space="preserve"> </w:t>
      </w:r>
      <w:r w:rsidR="005F5F13" w:rsidRPr="005B454E">
        <w:rPr>
          <w:rFonts w:ascii="Arial" w:hAnsi="Arial" w:cs="Arial"/>
          <w:sz w:val="24"/>
          <w:szCs w:val="24"/>
        </w:rPr>
        <w:t>plays a key support role on economic development and regeneration and is responsible for major funding streams</w:t>
      </w:r>
      <w:r w:rsidR="005F5F13">
        <w:rPr>
          <w:rFonts w:ascii="Arial" w:hAnsi="Arial" w:cs="Arial"/>
          <w:sz w:val="24"/>
          <w:szCs w:val="24"/>
        </w:rPr>
        <w:t>.</w:t>
      </w:r>
      <w:r w:rsidR="005F5F13" w:rsidRPr="005B454E">
        <w:rPr>
          <w:rFonts w:ascii="Arial" w:hAnsi="Arial" w:cs="Arial"/>
          <w:sz w:val="24"/>
          <w:szCs w:val="24"/>
        </w:rPr>
        <w:t xml:space="preserve"> It is also identified in Local Planning Regulations as a body that local authorities need to take account of in meeting its ‘duty to cooperate’ obligations.</w:t>
      </w:r>
    </w:p>
    <w:p w14:paraId="6C8062CB" w14:textId="05B4DEA0" w:rsidR="005F5F13"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4.</w:t>
      </w:r>
      <w:r w:rsidR="000A08C6">
        <w:rPr>
          <w:rFonts w:ascii="Arial" w:hAnsi="Arial" w:cs="Arial"/>
          <w:sz w:val="24"/>
          <w:szCs w:val="24"/>
        </w:rPr>
        <w:t>3</w:t>
      </w:r>
      <w:r w:rsidRPr="005B454E">
        <w:rPr>
          <w:rFonts w:ascii="Arial" w:hAnsi="Arial" w:cs="Arial"/>
          <w:sz w:val="24"/>
          <w:szCs w:val="24"/>
        </w:rPr>
        <w:tab/>
      </w:r>
      <w:r w:rsidRPr="001363B7">
        <w:rPr>
          <w:rFonts w:ascii="Arial" w:hAnsi="Arial" w:cs="Arial"/>
          <w:b/>
          <w:sz w:val="24"/>
          <w:szCs w:val="24"/>
        </w:rPr>
        <w:t>Hertfordshire</w:t>
      </w:r>
      <w:r w:rsidRPr="00EE2344">
        <w:rPr>
          <w:rFonts w:ascii="Arial" w:hAnsi="Arial" w:cs="Arial"/>
          <w:sz w:val="24"/>
          <w:szCs w:val="24"/>
        </w:rPr>
        <w:t xml:space="preserve"> </w:t>
      </w:r>
      <w:r w:rsidRPr="005B454E">
        <w:rPr>
          <w:rFonts w:ascii="Arial" w:hAnsi="Arial" w:cs="Arial"/>
          <w:b/>
          <w:sz w:val="24"/>
          <w:szCs w:val="24"/>
        </w:rPr>
        <w:t>LEP</w:t>
      </w:r>
      <w:r w:rsidRPr="005B454E">
        <w:rPr>
          <w:rFonts w:ascii="Arial" w:hAnsi="Arial" w:cs="Arial"/>
          <w:sz w:val="24"/>
          <w:szCs w:val="24"/>
        </w:rPr>
        <w:t xml:space="preserve">: The Board will work closely with </w:t>
      </w:r>
      <w:r>
        <w:rPr>
          <w:rFonts w:ascii="Arial" w:hAnsi="Arial" w:cs="Arial"/>
          <w:sz w:val="24"/>
          <w:szCs w:val="24"/>
        </w:rPr>
        <w:t>Hertfordshire LEP</w:t>
      </w:r>
      <w:r w:rsidRPr="00EE2344">
        <w:rPr>
          <w:rFonts w:ascii="Arial" w:hAnsi="Arial" w:cs="Arial"/>
          <w:sz w:val="24"/>
          <w:szCs w:val="24"/>
        </w:rPr>
        <w:t xml:space="preserve"> </w:t>
      </w:r>
      <w:r w:rsidRPr="005B454E">
        <w:rPr>
          <w:rFonts w:ascii="Arial" w:hAnsi="Arial" w:cs="Arial"/>
          <w:sz w:val="24"/>
          <w:szCs w:val="24"/>
        </w:rPr>
        <w:t xml:space="preserve">to ensure the long term integration of strategic planning and investment priorities.  The </w:t>
      </w:r>
      <w:r w:rsidRPr="00EE2344">
        <w:rPr>
          <w:rFonts w:ascii="Arial" w:hAnsi="Arial" w:cs="Arial"/>
          <w:sz w:val="24"/>
          <w:szCs w:val="24"/>
        </w:rPr>
        <w:t>LEP</w:t>
      </w:r>
      <w:r>
        <w:rPr>
          <w:rFonts w:ascii="Arial" w:hAnsi="Arial" w:cs="Arial"/>
          <w:sz w:val="24"/>
          <w:szCs w:val="24"/>
        </w:rPr>
        <w:t xml:space="preserve"> </w:t>
      </w:r>
      <w:r w:rsidRPr="005B454E">
        <w:rPr>
          <w:rFonts w:ascii="Arial" w:hAnsi="Arial" w:cs="Arial"/>
          <w:sz w:val="24"/>
          <w:szCs w:val="24"/>
        </w:rPr>
        <w:t>plays a key support role on economic development and regeneration and is responsible for major funding streams</w:t>
      </w:r>
      <w:r>
        <w:rPr>
          <w:rFonts w:ascii="Arial" w:hAnsi="Arial" w:cs="Arial"/>
          <w:sz w:val="24"/>
          <w:szCs w:val="24"/>
        </w:rPr>
        <w:t>.</w:t>
      </w:r>
      <w:r w:rsidRPr="005B454E">
        <w:rPr>
          <w:rFonts w:ascii="Arial" w:hAnsi="Arial" w:cs="Arial"/>
          <w:sz w:val="24"/>
          <w:szCs w:val="24"/>
        </w:rPr>
        <w:t xml:space="preserve"> It is also identified in Local Planning Regulations as a body that local authorities need to take account of in meeting its ‘duty to cooperate’ obligations.</w:t>
      </w:r>
    </w:p>
    <w:p w14:paraId="145AF997" w14:textId="06CD4239" w:rsidR="005F5F13" w:rsidRDefault="005F5F13" w:rsidP="00F16347">
      <w:pPr>
        <w:spacing w:after="120" w:line="240" w:lineRule="auto"/>
        <w:ind w:left="567" w:hanging="567"/>
        <w:jc w:val="both"/>
        <w:rPr>
          <w:rFonts w:ascii="Arial" w:hAnsi="Arial" w:cs="Arial"/>
          <w:sz w:val="24"/>
          <w:szCs w:val="24"/>
        </w:rPr>
      </w:pPr>
      <w:r>
        <w:rPr>
          <w:rFonts w:ascii="Arial" w:hAnsi="Arial" w:cs="Arial"/>
          <w:sz w:val="24"/>
          <w:szCs w:val="24"/>
        </w:rPr>
        <w:t>4.</w:t>
      </w:r>
      <w:r w:rsidR="000A08C6">
        <w:rPr>
          <w:rFonts w:ascii="Arial" w:hAnsi="Arial" w:cs="Arial"/>
          <w:sz w:val="24"/>
          <w:szCs w:val="24"/>
        </w:rPr>
        <w:t>4</w:t>
      </w:r>
      <w:r>
        <w:rPr>
          <w:rFonts w:ascii="Arial" w:hAnsi="Arial" w:cs="Arial"/>
          <w:sz w:val="24"/>
          <w:szCs w:val="24"/>
        </w:rPr>
        <w:tab/>
      </w:r>
      <w:r w:rsidRPr="001363B7">
        <w:rPr>
          <w:rFonts w:ascii="Arial" w:hAnsi="Arial" w:cs="Arial"/>
          <w:b/>
          <w:sz w:val="24"/>
          <w:szCs w:val="24"/>
        </w:rPr>
        <w:t>Greater Cambridge and Greater Peterborough LEP:</w:t>
      </w:r>
      <w:r>
        <w:rPr>
          <w:rFonts w:ascii="Arial" w:hAnsi="Arial" w:cs="Arial"/>
          <w:sz w:val="24"/>
          <w:szCs w:val="24"/>
        </w:rPr>
        <w:t xml:space="preserve"> </w:t>
      </w:r>
      <w:r w:rsidRPr="005B454E">
        <w:rPr>
          <w:rFonts w:ascii="Arial" w:hAnsi="Arial" w:cs="Arial"/>
          <w:sz w:val="24"/>
          <w:szCs w:val="24"/>
        </w:rPr>
        <w:t xml:space="preserve">The Board will work closely with </w:t>
      </w:r>
      <w:r>
        <w:rPr>
          <w:rFonts w:ascii="Arial" w:hAnsi="Arial" w:cs="Arial"/>
          <w:sz w:val="24"/>
          <w:szCs w:val="24"/>
        </w:rPr>
        <w:t>GCGP LEP</w:t>
      </w:r>
      <w:r w:rsidRPr="00EE2344">
        <w:rPr>
          <w:rFonts w:ascii="Arial" w:hAnsi="Arial" w:cs="Arial"/>
          <w:sz w:val="24"/>
          <w:szCs w:val="24"/>
        </w:rPr>
        <w:t xml:space="preserve"> </w:t>
      </w:r>
      <w:r w:rsidRPr="005B454E">
        <w:rPr>
          <w:rFonts w:ascii="Arial" w:hAnsi="Arial" w:cs="Arial"/>
          <w:sz w:val="24"/>
          <w:szCs w:val="24"/>
        </w:rPr>
        <w:t xml:space="preserve">to ensure the long term integration of strategic planning and investment priorities.  The </w:t>
      </w:r>
      <w:r w:rsidRPr="00EE2344">
        <w:rPr>
          <w:rFonts w:ascii="Arial" w:hAnsi="Arial" w:cs="Arial"/>
          <w:sz w:val="24"/>
          <w:szCs w:val="24"/>
        </w:rPr>
        <w:t>LEP</w:t>
      </w:r>
      <w:r>
        <w:rPr>
          <w:rFonts w:ascii="Arial" w:hAnsi="Arial" w:cs="Arial"/>
          <w:sz w:val="24"/>
          <w:szCs w:val="24"/>
        </w:rPr>
        <w:t xml:space="preserve"> </w:t>
      </w:r>
      <w:r w:rsidRPr="005B454E">
        <w:rPr>
          <w:rFonts w:ascii="Arial" w:hAnsi="Arial" w:cs="Arial"/>
          <w:sz w:val="24"/>
          <w:szCs w:val="24"/>
        </w:rPr>
        <w:t>plays a key support role on economic development and regeneration and is responsible for major funding streams</w:t>
      </w:r>
      <w:r>
        <w:rPr>
          <w:rFonts w:ascii="Arial" w:hAnsi="Arial" w:cs="Arial"/>
          <w:sz w:val="24"/>
          <w:szCs w:val="24"/>
        </w:rPr>
        <w:t>.</w:t>
      </w:r>
      <w:r w:rsidRPr="005B454E">
        <w:rPr>
          <w:rFonts w:ascii="Arial" w:hAnsi="Arial" w:cs="Arial"/>
          <w:sz w:val="24"/>
          <w:szCs w:val="24"/>
        </w:rPr>
        <w:t xml:space="preserve"> It is also identified in Local Planning Regulations as a body that local authorities need to take account of in meeting its ‘duty to cooperate’ obligations.</w:t>
      </w:r>
    </w:p>
    <w:p w14:paraId="0125C271" w14:textId="0B722AA0" w:rsidR="005F5F13" w:rsidRDefault="005F5F13" w:rsidP="00F16347">
      <w:pPr>
        <w:spacing w:after="120" w:line="240" w:lineRule="auto"/>
        <w:ind w:left="567" w:hanging="567"/>
        <w:jc w:val="both"/>
        <w:rPr>
          <w:rFonts w:ascii="Arial" w:hAnsi="Arial" w:cs="Arial"/>
          <w:sz w:val="24"/>
          <w:szCs w:val="24"/>
        </w:rPr>
      </w:pPr>
      <w:r>
        <w:rPr>
          <w:rFonts w:ascii="Arial" w:hAnsi="Arial" w:cs="Arial"/>
          <w:sz w:val="24"/>
          <w:szCs w:val="24"/>
        </w:rPr>
        <w:t>4.</w:t>
      </w:r>
      <w:r w:rsidR="000A08C6">
        <w:rPr>
          <w:rFonts w:ascii="Arial" w:hAnsi="Arial" w:cs="Arial"/>
          <w:sz w:val="24"/>
          <w:szCs w:val="24"/>
        </w:rPr>
        <w:t>5</w:t>
      </w:r>
      <w:r>
        <w:rPr>
          <w:rFonts w:ascii="Arial" w:hAnsi="Arial" w:cs="Arial"/>
          <w:sz w:val="24"/>
          <w:szCs w:val="24"/>
        </w:rPr>
        <w:tab/>
      </w:r>
      <w:r w:rsidRPr="00340E33">
        <w:rPr>
          <w:rFonts w:ascii="Arial" w:hAnsi="Arial" w:cs="Arial"/>
          <w:b/>
          <w:sz w:val="24"/>
          <w:szCs w:val="24"/>
        </w:rPr>
        <w:t>London Enterprise Panel</w:t>
      </w:r>
      <w:r>
        <w:rPr>
          <w:rFonts w:ascii="Arial" w:hAnsi="Arial" w:cs="Arial"/>
          <w:sz w:val="24"/>
          <w:szCs w:val="24"/>
        </w:rPr>
        <w:t xml:space="preserve"> – this acts as the Local Economic Partnership for London.</w:t>
      </w:r>
    </w:p>
    <w:p w14:paraId="20A11F73" w14:textId="35D9EC28" w:rsidR="005F5F13" w:rsidRPr="00EE2344"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4.</w:t>
      </w:r>
      <w:r w:rsidR="000A08C6">
        <w:rPr>
          <w:rFonts w:ascii="Arial" w:hAnsi="Arial" w:cs="Arial"/>
          <w:sz w:val="24"/>
          <w:szCs w:val="24"/>
        </w:rPr>
        <w:t>6</w:t>
      </w:r>
      <w:r w:rsidRPr="005B454E">
        <w:rPr>
          <w:rFonts w:ascii="Arial" w:hAnsi="Arial" w:cs="Arial"/>
          <w:sz w:val="24"/>
          <w:szCs w:val="24"/>
        </w:rPr>
        <w:tab/>
      </w:r>
      <w:r w:rsidRPr="00F15BAD">
        <w:rPr>
          <w:rFonts w:ascii="Arial" w:hAnsi="Arial" w:cs="Arial"/>
          <w:b/>
          <w:sz w:val="24"/>
          <w:szCs w:val="24"/>
        </w:rPr>
        <w:t>East Herts West Essex Border Liaison Group</w:t>
      </w:r>
      <w:r>
        <w:rPr>
          <w:rFonts w:ascii="Arial" w:hAnsi="Arial" w:cs="Arial"/>
          <w:sz w:val="24"/>
          <w:szCs w:val="24"/>
        </w:rPr>
        <w:t>: this</w:t>
      </w:r>
      <w:r w:rsidRPr="00EE2344">
        <w:rPr>
          <w:rFonts w:ascii="Arial" w:hAnsi="Arial" w:cs="Arial"/>
          <w:sz w:val="24"/>
          <w:szCs w:val="24"/>
        </w:rPr>
        <w:t xml:space="preserve"> is an e</w:t>
      </w:r>
      <w:r w:rsidRPr="005B454E">
        <w:rPr>
          <w:rFonts w:ascii="Arial" w:hAnsi="Arial" w:cs="Arial"/>
          <w:sz w:val="24"/>
          <w:szCs w:val="24"/>
        </w:rPr>
        <w:t xml:space="preserve">stablished forum for </w:t>
      </w:r>
      <w:r w:rsidRPr="00EE2344">
        <w:rPr>
          <w:rFonts w:ascii="Arial" w:hAnsi="Arial" w:cs="Arial"/>
          <w:sz w:val="24"/>
          <w:szCs w:val="24"/>
        </w:rPr>
        <w:t xml:space="preserve">members from many of the core </w:t>
      </w:r>
      <w:r>
        <w:rPr>
          <w:rFonts w:ascii="Arial" w:hAnsi="Arial" w:cs="Arial"/>
          <w:sz w:val="24"/>
          <w:szCs w:val="24"/>
        </w:rPr>
        <w:t xml:space="preserve">Board </w:t>
      </w:r>
      <w:r w:rsidRPr="00EE2344">
        <w:rPr>
          <w:rFonts w:ascii="Arial" w:hAnsi="Arial" w:cs="Arial"/>
          <w:sz w:val="24"/>
          <w:szCs w:val="24"/>
        </w:rPr>
        <w:t>authorities to</w:t>
      </w:r>
      <w:r w:rsidRPr="005B454E">
        <w:rPr>
          <w:rFonts w:ascii="Arial" w:hAnsi="Arial" w:cs="Arial"/>
          <w:sz w:val="24"/>
          <w:szCs w:val="24"/>
        </w:rPr>
        <w:t xml:space="preserve"> come together and discuss issues of common interest</w:t>
      </w:r>
      <w:r w:rsidRPr="00EE2344">
        <w:rPr>
          <w:rFonts w:ascii="Arial" w:hAnsi="Arial" w:cs="Arial"/>
          <w:sz w:val="24"/>
          <w:szCs w:val="24"/>
        </w:rPr>
        <w:t xml:space="preserve"> several times a year</w:t>
      </w:r>
      <w:r w:rsidRPr="005B454E">
        <w:rPr>
          <w:rFonts w:ascii="Arial" w:hAnsi="Arial" w:cs="Arial"/>
          <w:sz w:val="24"/>
          <w:szCs w:val="24"/>
        </w:rPr>
        <w:t>.</w:t>
      </w:r>
      <w:r w:rsidRPr="00EE2344">
        <w:rPr>
          <w:rFonts w:ascii="Arial" w:hAnsi="Arial" w:cs="Arial"/>
          <w:sz w:val="24"/>
          <w:szCs w:val="24"/>
        </w:rPr>
        <w:t xml:space="preserve">  Its terms of reference specifically include reference to the duty to co-operate. Its wide membership (in terms of the number of elected members invited from the constituent authorities) means that it</w:t>
      </w:r>
      <w:r w:rsidRPr="005B454E">
        <w:rPr>
          <w:rFonts w:ascii="Arial" w:hAnsi="Arial" w:cs="Arial"/>
          <w:sz w:val="24"/>
          <w:szCs w:val="24"/>
        </w:rPr>
        <w:t xml:space="preserve"> provide</w:t>
      </w:r>
      <w:r w:rsidRPr="00EE2344">
        <w:rPr>
          <w:rFonts w:ascii="Arial" w:hAnsi="Arial" w:cs="Arial"/>
          <w:sz w:val="24"/>
          <w:szCs w:val="24"/>
        </w:rPr>
        <w:t>s</w:t>
      </w:r>
      <w:r w:rsidRPr="005B454E">
        <w:rPr>
          <w:rFonts w:ascii="Arial" w:hAnsi="Arial" w:cs="Arial"/>
          <w:sz w:val="24"/>
          <w:szCs w:val="24"/>
        </w:rPr>
        <w:t xml:space="preserve"> a useful forum for the Board to </w:t>
      </w:r>
      <w:r w:rsidRPr="00EE2344">
        <w:rPr>
          <w:rFonts w:ascii="Arial" w:hAnsi="Arial" w:cs="Arial"/>
          <w:sz w:val="24"/>
          <w:szCs w:val="24"/>
        </w:rPr>
        <w:t xml:space="preserve">communicate on its activities, and </w:t>
      </w:r>
      <w:r w:rsidRPr="005B454E">
        <w:rPr>
          <w:rFonts w:ascii="Arial" w:hAnsi="Arial" w:cs="Arial"/>
          <w:sz w:val="24"/>
          <w:szCs w:val="24"/>
        </w:rPr>
        <w:t>receive updates on</w:t>
      </w:r>
      <w:r w:rsidRPr="00EE2344">
        <w:rPr>
          <w:rFonts w:ascii="Arial" w:hAnsi="Arial" w:cs="Arial"/>
          <w:sz w:val="24"/>
          <w:szCs w:val="24"/>
        </w:rPr>
        <w:t xml:space="preserve"> issues. The Chairman of the Board or an agreed member should report to each meeting of the EHWEBLG.</w:t>
      </w:r>
    </w:p>
    <w:p w14:paraId="604053AC" w14:textId="04457E92" w:rsidR="005F5F13" w:rsidRDefault="005F5F13" w:rsidP="00F16347">
      <w:pPr>
        <w:spacing w:after="120" w:line="240" w:lineRule="auto"/>
        <w:ind w:left="567" w:hanging="567"/>
        <w:jc w:val="both"/>
        <w:rPr>
          <w:rFonts w:ascii="Arial" w:hAnsi="Arial" w:cs="Arial"/>
          <w:sz w:val="24"/>
          <w:szCs w:val="24"/>
        </w:rPr>
      </w:pPr>
      <w:r w:rsidRPr="00EE2344">
        <w:rPr>
          <w:rFonts w:ascii="Arial" w:hAnsi="Arial" w:cs="Arial"/>
          <w:sz w:val="24"/>
          <w:szCs w:val="24"/>
        </w:rPr>
        <w:t>4.</w:t>
      </w:r>
      <w:r w:rsidR="000A08C6">
        <w:rPr>
          <w:rFonts w:ascii="Arial" w:hAnsi="Arial" w:cs="Arial"/>
          <w:sz w:val="24"/>
          <w:szCs w:val="24"/>
        </w:rPr>
        <w:t>7</w:t>
      </w:r>
      <w:r w:rsidRPr="00EE2344">
        <w:rPr>
          <w:rFonts w:ascii="Arial" w:hAnsi="Arial" w:cs="Arial"/>
          <w:sz w:val="24"/>
          <w:szCs w:val="24"/>
        </w:rPr>
        <w:tab/>
      </w:r>
      <w:r w:rsidRPr="001363B7">
        <w:rPr>
          <w:rFonts w:ascii="Arial" w:hAnsi="Arial" w:cs="Arial"/>
          <w:b/>
          <w:sz w:val="24"/>
          <w:szCs w:val="24"/>
        </w:rPr>
        <w:t>London Stansted Cambridge Consortium:</w:t>
      </w:r>
      <w:r w:rsidRPr="00C6375D">
        <w:rPr>
          <w:rFonts w:ascii="Arial" w:hAnsi="Arial" w:cs="Arial"/>
          <w:sz w:val="24"/>
          <w:szCs w:val="24"/>
        </w:rPr>
        <w:t xml:space="preserve"> this is an established</w:t>
      </w:r>
      <w:r>
        <w:rPr>
          <w:rFonts w:ascii="Arial" w:hAnsi="Arial" w:cs="Arial"/>
          <w:sz w:val="24"/>
          <w:szCs w:val="24"/>
        </w:rPr>
        <w:t xml:space="preserve"> partnership of public and private sector organisations, including councils, </w:t>
      </w:r>
      <w:r>
        <w:rPr>
          <w:rFonts w:ascii="Arial" w:hAnsi="Arial" w:cs="Arial"/>
          <w:color w:val="333333"/>
          <w:sz w:val="24"/>
          <w:szCs w:val="24"/>
          <w:lang w:val="en-US"/>
        </w:rPr>
        <w:t xml:space="preserve">which </w:t>
      </w:r>
      <w:r w:rsidRPr="001363B7">
        <w:rPr>
          <w:rFonts w:ascii="Arial" w:hAnsi="Arial" w:cs="Arial"/>
          <w:color w:val="333333"/>
          <w:sz w:val="24"/>
          <w:szCs w:val="24"/>
          <w:lang w:val="en-US"/>
        </w:rPr>
        <w:t xml:space="preserve">covers the area from Tech City, the City Fringe, Kings Cross, and the Olympic Park, up through the Lee Valley and M11/A10 and West Anglia Rail corridors to Harlow and Stansted, and through to Cambridge. </w:t>
      </w:r>
      <w:r w:rsidRPr="001363B7">
        <w:rPr>
          <w:rStyle w:val="Strong"/>
          <w:rFonts w:ascii="Arial" w:hAnsi="Arial" w:cs="Arial"/>
          <w:b w:val="0"/>
          <w:color w:val="333333"/>
          <w:sz w:val="24"/>
          <w:szCs w:val="24"/>
          <w:lang w:val="en-US"/>
        </w:rPr>
        <w:t>The principal objective of the consortium is to drive economic development and enhance quality of life in the north London – Stansted – Cambridge corridor. This means not only driving job growth through productivity and investment, but more importantly increasing economic activity, by ensuring local communities access employment opportunities.</w:t>
      </w:r>
    </w:p>
    <w:p w14:paraId="1ED6CB1C" w14:textId="3563306B" w:rsidR="005F5F13" w:rsidRPr="005B454E" w:rsidRDefault="005F5F13" w:rsidP="00F16347">
      <w:pPr>
        <w:spacing w:after="120" w:line="240" w:lineRule="auto"/>
        <w:ind w:left="567" w:hanging="567"/>
        <w:jc w:val="both"/>
        <w:rPr>
          <w:rFonts w:ascii="Arial" w:hAnsi="Arial" w:cs="Arial"/>
          <w:sz w:val="24"/>
          <w:szCs w:val="24"/>
        </w:rPr>
      </w:pPr>
      <w:r w:rsidRPr="00EE2344">
        <w:rPr>
          <w:rFonts w:ascii="Arial" w:hAnsi="Arial" w:cs="Arial"/>
          <w:sz w:val="24"/>
          <w:szCs w:val="24"/>
        </w:rPr>
        <w:t>4.</w:t>
      </w:r>
      <w:r w:rsidR="000A08C6">
        <w:rPr>
          <w:rFonts w:ascii="Arial" w:hAnsi="Arial" w:cs="Arial"/>
          <w:sz w:val="24"/>
          <w:szCs w:val="24"/>
        </w:rPr>
        <w:t>8</w:t>
      </w:r>
      <w:r w:rsidRPr="005B454E">
        <w:rPr>
          <w:rFonts w:ascii="Arial" w:hAnsi="Arial" w:cs="Arial"/>
          <w:b/>
          <w:sz w:val="24"/>
          <w:szCs w:val="24"/>
        </w:rPr>
        <w:tab/>
        <w:t xml:space="preserve">Other Key Partners: </w:t>
      </w:r>
      <w:r w:rsidRPr="005B454E">
        <w:rPr>
          <w:rFonts w:ascii="Arial" w:hAnsi="Arial" w:cs="Arial"/>
          <w:sz w:val="24"/>
          <w:szCs w:val="24"/>
        </w:rPr>
        <w:t xml:space="preserve">A number of key bodies and organisations will be necessary to support the work of the Board either through direct support/advice or through joint projects.  Most of these will be subject to the legal requirements of the ‘duty to cooperate’ and may well already be involved in the other </w:t>
      </w:r>
      <w:r w:rsidRPr="005B454E">
        <w:rPr>
          <w:rFonts w:ascii="Arial" w:hAnsi="Arial" w:cs="Arial"/>
          <w:sz w:val="24"/>
          <w:szCs w:val="24"/>
        </w:rPr>
        <w:lastRenderedPageBreak/>
        <w:t>partnerships mentioned above.  Key bodies include the</w:t>
      </w:r>
      <w:r w:rsidRPr="00EE2344">
        <w:rPr>
          <w:rFonts w:ascii="Arial" w:hAnsi="Arial" w:cs="Arial"/>
          <w:sz w:val="24"/>
          <w:szCs w:val="24"/>
        </w:rPr>
        <w:t xml:space="preserve"> Lee Valley Regional Park, the Corporation of the City of London (responsible for Epping Forest), the</w:t>
      </w:r>
      <w:r w:rsidRPr="005B454E">
        <w:rPr>
          <w:rFonts w:ascii="Arial" w:hAnsi="Arial" w:cs="Arial"/>
          <w:sz w:val="24"/>
          <w:szCs w:val="24"/>
        </w:rPr>
        <w:t xml:space="preserve"> Environment Agency, </w:t>
      </w:r>
      <w:r w:rsidR="000A08C6">
        <w:rPr>
          <w:rFonts w:ascii="Arial" w:hAnsi="Arial" w:cs="Arial"/>
          <w:sz w:val="24"/>
          <w:szCs w:val="24"/>
        </w:rPr>
        <w:t xml:space="preserve">Natural England, </w:t>
      </w:r>
      <w:r w:rsidRPr="005B454E">
        <w:rPr>
          <w:rFonts w:ascii="Arial" w:hAnsi="Arial" w:cs="Arial"/>
          <w:sz w:val="24"/>
          <w:szCs w:val="24"/>
        </w:rPr>
        <w:t>Highways</w:t>
      </w:r>
      <w:r w:rsidR="00861A32">
        <w:rPr>
          <w:rFonts w:ascii="Arial" w:hAnsi="Arial" w:cs="Arial"/>
          <w:sz w:val="24"/>
          <w:szCs w:val="24"/>
        </w:rPr>
        <w:t xml:space="preserve"> </w:t>
      </w:r>
      <w:r w:rsidR="000A08C6">
        <w:rPr>
          <w:rFonts w:ascii="Arial" w:hAnsi="Arial" w:cs="Arial"/>
          <w:sz w:val="24"/>
          <w:szCs w:val="24"/>
        </w:rPr>
        <w:t>England</w:t>
      </w:r>
      <w:r w:rsidRPr="005B454E">
        <w:rPr>
          <w:rFonts w:ascii="Arial" w:hAnsi="Arial" w:cs="Arial"/>
          <w:sz w:val="24"/>
          <w:szCs w:val="24"/>
        </w:rPr>
        <w:t>,</w:t>
      </w:r>
      <w:r>
        <w:rPr>
          <w:rFonts w:ascii="Arial" w:hAnsi="Arial" w:cs="Arial"/>
          <w:sz w:val="24"/>
          <w:szCs w:val="24"/>
        </w:rPr>
        <w:t xml:space="preserve"> </w:t>
      </w:r>
      <w:r w:rsidRPr="005B454E">
        <w:rPr>
          <w:rFonts w:ascii="Arial" w:hAnsi="Arial" w:cs="Arial"/>
          <w:sz w:val="24"/>
          <w:szCs w:val="24"/>
        </w:rPr>
        <w:t>Homes</w:t>
      </w:r>
      <w:r w:rsidR="00861A32">
        <w:rPr>
          <w:rFonts w:ascii="Arial" w:hAnsi="Arial" w:cs="Arial"/>
          <w:sz w:val="24"/>
          <w:szCs w:val="24"/>
        </w:rPr>
        <w:t xml:space="preserve"> </w:t>
      </w:r>
      <w:r w:rsidR="000A08C6">
        <w:rPr>
          <w:rFonts w:ascii="Arial" w:hAnsi="Arial" w:cs="Arial"/>
          <w:sz w:val="24"/>
          <w:szCs w:val="24"/>
        </w:rPr>
        <w:t>England</w:t>
      </w:r>
      <w:r w:rsidR="0044569B">
        <w:rPr>
          <w:rFonts w:ascii="Arial" w:hAnsi="Arial" w:cs="Arial"/>
          <w:sz w:val="24"/>
          <w:szCs w:val="24"/>
        </w:rPr>
        <w:t>, CCG and Princess Alexandra Hospital</w:t>
      </w:r>
      <w:r w:rsidRPr="005B454E">
        <w:rPr>
          <w:rFonts w:ascii="Arial" w:hAnsi="Arial" w:cs="Arial"/>
          <w:sz w:val="24"/>
          <w:szCs w:val="24"/>
        </w:rPr>
        <w:t>. Private sector infrastructure providers, particularly utility companies, will also be key partners particularly in terms of ensuring alignment between investment plans and priorities.</w:t>
      </w:r>
    </w:p>
    <w:p w14:paraId="313AB642" w14:textId="77777777" w:rsidR="005F5F13" w:rsidRPr="005B454E" w:rsidRDefault="005F5F13" w:rsidP="00F16347">
      <w:pPr>
        <w:spacing w:after="120" w:line="240" w:lineRule="auto"/>
        <w:ind w:left="567" w:hanging="567"/>
        <w:jc w:val="both"/>
        <w:rPr>
          <w:rFonts w:ascii="Arial" w:hAnsi="Arial" w:cs="Arial"/>
          <w:sz w:val="24"/>
          <w:szCs w:val="24"/>
        </w:rPr>
      </w:pPr>
    </w:p>
    <w:p w14:paraId="346EC796" w14:textId="39453FD4" w:rsidR="005F5F13" w:rsidRPr="005B454E" w:rsidRDefault="005F5F13" w:rsidP="00F16347">
      <w:pPr>
        <w:spacing w:after="120" w:line="240" w:lineRule="auto"/>
        <w:ind w:left="1145" w:hanging="1145"/>
        <w:jc w:val="both"/>
        <w:rPr>
          <w:rFonts w:ascii="Arial" w:hAnsi="Arial" w:cs="Arial"/>
          <w:sz w:val="24"/>
          <w:szCs w:val="24"/>
        </w:rPr>
      </w:pPr>
      <w:r w:rsidRPr="005B454E">
        <w:rPr>
          <w:rFonts w:ascii="Arial" w:hAnsi="Arial" w:cs="Arial"/>
          <w:b/>
          <w:sz w:val="24"/>
          <w:szCs w:val="24"/>
        </w:rPr>
        <w:t>5</w:t>
      </w:r>
      <w:r w:rsidR="00861A32">
        <w:rPr>
          <w:rFonts w:ascii="Arial" w:hAnsi="Arial" w:cs="Arial"/>
          <w:b/>
          <w:sz w:val="24"/>
          <w:szCs w:val="24"/>
        </w:rPr>
        <w:t>.</w:t>
      </w:r>
      <w:r w:rsidRPr="005B454E">
        <w:rPr>
          <w:rFonts w:ascii="Arial" w:hAnsi="Arial" w:cs="Arial"/>
          <w:b/>
          <w:sz w:val="24"/>
          <w:szCs w:val="24"/>
        </w:rPr>
        <w:t xml:space="preserve"> Technical Support</w:t>
      </w:r>
    </w:p>
    <w:p w14:paraId="18EB9585" w14:textId="4D5EC850" w:rsidR="005F5F13" w:rsidRPr="00EE2344"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5.1</w:t>
      </w:r>
      <w:r w:rsidRPr="005B454E">
        <w:rPr>
          <w:rFonts w:ascii="Arial" w:hAnsi="Arial" w:cs="Arial"/>
          <w:sz w:val="24"/>
          <w:szCs w:val="24"/>
        </w:rPr>
        <w:tab/>
        <w:t>The Board will be supported by an officer group</w:t>
      </w:r>
      <w:r w:rsidRPr="00EE2344">
        <w:rPr>
          <w:rFonts w:ascii="Arial" w:hAnsi="Arial" w:cs="Arial"/>
          <w:sz w:val="24"/>
          <w:szCs w:val="24"/>
        </w:rPr>
        <w:t xml:space="preserve">, known as the Co-operation for Sustainable </w:t>
      </w:r>
      <w:r w:rsidR="00B001F4">
        <w:rPr>
          <w:rFonts w:ascii="Arial" w:hAnsi="Arial" w:cs="Arial"/>
          <w:sz w:val="24"/>
          <w:szCs w:val="24"/>
        </w:rPr>
        <w:t>Development Officer</w:t>
      </w:r>
      <w:r w:rsidR="00623B09">
        <w:rPr>
          <w:rFonts w:ascii="Arial" w:hAnsi="Arial" w:cs="Arial"/>
          <w:sz w:val="24"/>
          <w:szCs w:val="24"/>
        </w:rPr>
        <w:t xml:space="preserve"> </w:t>
      </w:r>
      <w:r w:rsidRPr="00EE2344">
        <w:rPr>
          <w:rFonts w:ascii="Arial" w:hAnsi="Arial" w:cs="Arial"/>
          <w:sz w:val="24"/>
          <w:szCs w:val="24"/>
        </w:rPr>
        <w:t>Group,</w:t>
      </w:r>
      <w:r w:rsidRPr="005B454E">
        <w:rPr>
          <w:rFonts w:ascii="Arial" w:hAnsi="Arial" w:cs="Arial"/>
          <w:sz w:val="24"/>
          <w:szCs w:val="24"/>
        </w:rPr>
        <w:t xml:space="preserve"> with representatives from each of the constituent authorities. The group will</w:t>
      </w:r>
      <w:r w:rsidRPr="00EE2344">
        <w:rPr>
          <w:rFonts w:ascii="Arial" w:hAnsi="Arial" w:cs="Arial"/>
          <w:sz w:val="24"/>
          <w:szCs w:val="24"/>
        </w:rPr>
        <w:t xml:space="preserve"> advise the Board on technical issues, and</w:t>
      </w:r>
      <w:r w:rsidRPr="005B454E">
        <w:rPr>
          <w:rFonts w:ascii="Arial" w:hAnsi="Arial" w:cs="Arial"/>
          <w:sz w:val="24"/>
          <w:szCs w:val="24"/>
        </w:rPr>
        <w:t xml:space="preserve"> act as a steering group for</w:t>
      </w:r>
      <w:r w:rsidRPr="00EE2344">
        <w:rPr>
          <w:rFonts w:ascii="Arial" w:hAnsi="Arial" w:cs="Arial"/>
          <w:sz w:val="24"/>
          <w:szCs w:val="24"/>
        </w:rPr>
        <w:t xml:space="preserve"> any</w:t>
      </w:r>
      <w:r w:rsidRPr="005B454E">
        <w:rPr>
          <w:rFonts w:ascii="Arial" w:hAnsi="Arial" w:cs="Arial"/>
          <w:sz w:val="24"/>
          <w:szCs w:val="24"/>
        </w:rPr>
        <w:t xml:space="preserve"> identified project</w:t>
      </w:r>
      <w:r w:rsidRPr="00EE2344">
        <w:rPr>
          <w:rFonts w:ascii="Arial" w:hAnsi="Arial" w:cs="Arial"/>
          <w:sz w:val="24"/>
          <w:szCs w:val="24"/>
        </w:rPr>
        <w:t>,</w:t>
      </w:r>
      <w:r w:rsidRPr="005B454E">
        <w:rPr>
          <w:rFonts w:ascii="Arial" w:hAnsi="Arial" w:cs="Arial"/>
          <w:sz w:val="24"/>
          <w:szCs w:val="24"/>
        </w:rPr>
        <w:t xml:space="preserve"> establish</w:t>
      </w:r>
      <w:r w:rsidRPr="00EE2344">
        <w:rPr>
          <w:rFonts w:ascii="Arial" w:hAnsi="Arial" w:cs="Arial"/>
          <w:sz w:val="24"/>
          <w:szCs w:val="24"/>
        </w:rPr>
        <w:t>ing</w:t>
      </w:r>
      <w:r w:rsidRPr="005B454E">
        <w:rPr>
          <w:rFonts w:ascii="Arial" w:hAnsi="Arial" w:cs="Arial"/>
          <w:sz w:val="24"/>
          <w:szCs w:val="24"/>
        </w:rPr>
        <w:t xml:space="preserve"> suitable technical support and project management arrangements for each.  This may involve the use of ‘task and finish’ groups and could include the use of external expertise e.g. from key statutory bodies identified in </w:t>
      </w:r>
      <w:r>
        <w:rPr>
          <w:rFonts w:ascii="Arial" w:hAnsi="Arial" w:cs="Arial"/>
          <w:sz w:val="24"/>
          <w:szCs w:val="24"/>
        </w:rPr>
        <w:t>Section</w:t>
      </w:r>
      <w:r w:rsidRPr="005B454E">
        <w:rPr>
          <w:rFonts w:ascii="Arial" w:hAnsi="Arial" w:cs="Arial"/>
          <w:sz w:val="24"/>
          <w:szCs w:val="24"/>
        </w:rPr>
        <w:t xml:space="preserve"> </w:t>
      </w:r>
      <w:r>
        <w:rPr>
          <w:rFonts w:ascii="Arial" w:hAnsi="Arial" w:cs="Arial"/>
          <w:sz w:val="24"/>
          <w:szCs w:val="24"/>
        </w:rPr>
        <w:t>4</w:t>
      </w:r>
      <w:r w:rsidRPr="005B454E">
        <w:rPr>
          <w:rFonts w:ascii="Arial" w:hAnsi="Arial" w:cs="Arial"/>
          <w:sz w:val="24"/>
          <w:szCs w:val="24"/>
        </w:rPr>
        <w:t xml:space="preserve"> above or the use of consultants. The group will therefore also be responsible for any necessary joint procurement arrangements. </w:t>
      </w:r>
    </w:p>
    <w:p w14:paraId="20D3C27F" w14:textId="77777777" w:rsidR="005F5F13" w:rsidRDefault="005F5F13" w:rsidP="00F16347">
      <w:pPr>
        <w:spacing w:after="120" w:line="240" w:lineRule="auto"/>
        <w:ind w:left="567" w:hanging="567"/>
        <w:jc w:val="both"/>
        <w:rPr>
          <w:rFonts w:ascii="Arial" w:hAnsi="Arial" w:cs="Arial"/>
          <w:sz w:val="24"/>
          <w:szCs w:val="24"/>
        </w:rPr>
      </w:pPr>
      <w:r w:rsidRPr="005B454E">
        <w:rPr>
          <w:rFonts w:ascii="Arial" w:hAnsi="Arial" w:cs="Arial"/>
          <w:sz w:val="24"/>
          <w:szCs w:val="24"/>
        </w:rPr>
        <w:t>5.2</w:t>
      </w:r>
      <w:r w:rsidRPr="005B454E">
        <w:rPr>
          <w:rFonts w:ascii="Arial" w:hAnsi="Arial" w:cs="Arial"/>
          <w:sz w:val="24"/>
          <w:szCs w:val="24"/>
        </w:rPr>
        <w:tab/>
        <w:t>A representative of the officer group</w:t>
      </w:r>
      <w:r>
        <w:rPr>
          <w:rFonts w:ascii="Arial" w:hAnsi="Arial" w:cs="Arial"/>
          <w:sz w:val="24"/>
          <w:szCs w:val="24"/>
        </w:rPr>
        <w:t xml:space="preserve"> (the chairman or a suitable substitute) </w:t>
      </w:r>
      <w:r w:rsidRPr="005B454E">
        <w:rPr>
          <w:rFonts w:ascii="Arial" w:hAnsi="Arial" w:cs="Arial"/>
          <w:sz w:val="24"/>
          <w:szCs w:val="24"/>
        </w:rPr>
        <w:t>will attend the</w:t>
      </w:r>
      <w:r w:rsidRPr="00EE2344">
        <w:rPr>
          <w:rFonts w:ascii="Arial" w:hAnsi="Arial" w:cs="Arial"/>
          <w:sz w:val="24"/>
          <w:szCs w:val="24"/>
        </w:rPr>
        <w:t xml:space="preserve"> </w:t>
      </w:r>
      <w:r w:rsidRPr="005B454E">
        <w:rPr>
          <w:rFonts w:ascii="Arial" w:hAnsi="Arial" w:cs="Arial"/>
          <w:sz w:val="24"/>
          <w:szCs w:val="24"/>
        </w:rPr>
        <w:t>Board meetings and provide regular progress updates on the work programme to the Chairman</w:t>
      </w:r>
      <w:r>
        <w:rPr>
          <w:rFonts w:ascii="Arial" w:hAnsi="Arial" w:cs="Arial"/>
          <w:sz w:val="24"/>
          <w:szCs w:val="24"/>
        </w:rPr>
        <w:t>.</w:t>
      </w:r>
    </w:p>
    <w:p w14:paraId="76D937EF" w14:textId="77777777" w:rsidR="005F5F13" w:rsidRDefault="005F5F13" w:rsidP="00F16347">
      <w:pPr>
        <w:spacing w:after="120" w:line="240" w:lineRule="auto"/>
        <w:ind w:left="567" w:hanging="567"/>
        <w:jc w:val="both"/>
        <w:rPr>
          <w:rFonts w:ascii="Arial" w:hAnsi="Arial" w:cs="Arial"/>
          <w:sz w:val="24"/>
          <w:szCs w:val="24"/>
        </w:rPr>
      </w:pPr>
    </w:p>
    <w:p w14:paraId="0643B5B4" w14:textId="77777777" w:rsidR="005F5F13" w:rsidRDefault="005F5F13" w:rsidP="00F16347">
      <w:pPr>
        <w:spacing w:after="120" w:line="240" w:lineRule="auto"/>
        <w:ind w:left="567" w:hanging="567"/>
        <w:jc w:val="both"/>
        <w:rPr>
          <w:rFonts w:ascii="Arial" w:hAnsi="Arial" w:cs="Arial"/>
          <w:sz w:val="24"/>
          <w:szCs w:val="24"/>
        </w:rPr>
      </w:pPr>
      <w:r w:rsidRPr="005B454E">
        <w:rPr>
          <w:rFonts w:ascii="Arial" w:hAnsi="Arial" w:cs="Arial"/>
          <w:b/>
          <w:sz w:val="24"/>
          <w:szCs w:val="24"/>
        </w:rPr>
        <w:t>6.</w:t>
      </w:r>
      <w:r w:rsidRPr="005B454E">
        <w:rPr>
          <w:rFonts w:ascii="Arial" w:hAnsi="Arial" w:cs="Arial"/>
          <w:sz w:val="24"/>
          <w:szCs w:val="24"/>
        </w:rPr>
        <w:t xml:space="preserve">  </w:t>
      </w:r>
      <w:r>
        <w:rPr>
          <w:rFonts w:ascii="Arial" w:hAnsi="Arial" w:cs="Arial"/>
          <w:b/>
          <w:sz w:val="24"/>
          <w:szCs w:val="24"/>
        </w:rPr>
        <w:t>Review</w:t>
      </w:r>
    </w:p>
    <w:p w14:paraId="4CF585D3" w14:textId="1331FE5B" w:rsidR="005F5F13" w:rsidRPr="005B454E" w:rsidRDefault="005F5F13" w:rsidP="00A44800">
      <w:pPr>
        <w:spacing w:after="120" w:line="240" w:lineRule="auto"/>
        <w:ind w:left="567" w:hanging="567"/>
        <w:jc w:val="both"/>
        <w:rPr>
          <w:rFonts w:ascii="Arial" w:hAnsi="Arial" w:cs="Arial"/>
          <w:b/>
          <w:color w:val="FF0000"/>
        </w:rPr>
        <w:sectPr w:rsidR="005F5F13" w:rsidRPr="005B454E" w:rsidSect="002610F9">
          <w:headerReference w:type="default" r:id="rId8"/>
          <w:pgSz w:w="11906" w:h="16838"/>
          <w:pgMar w:top="1440" w:right="1440" w:bottom="1134" w:left="1440" w:header="708" w:footer="708" w:gutter="0"/>
          <w:cols w:space="708"/>
          <w:docGrid w:linePitch="360"/>
        </w:sectPr>
      </w:pPr>
      <w:r w:rsidRPr="0006289E">
        <w:rPr>
          <w:rFonts w:ascii="Arial" w:hAnsi="Arial" w:cs="Arial"/>
          <w:sz w:val="24"/>
          <w:szCs w:val="24"/>
        </w:rPr>
        <w:t>6.1</w:t>
      </w:r>
      <w:r>
        <w:rPr>
          <w:rFonts w:ascii="Arial" w:hAnsi="Arial" w:cs="Arial"/>
          <w:sz w:val="24"/>
          <w:szCs w:val="24"/>
        </w:rPr>
        <w:tab/>
      </w:r>
      <w:r w:rsidRPr="00EE2344">
        <w:rPr>
          <w:rFonts w:ascii="Arial" w:hAnsi="Arial" w:cs="Arial"/>
          <w:sz w:val="24"/>
          <w:szCs w:val="24"/>
        </w:rPr>
        <w:t xml:space="preserve">These are </w:t>
      </w:r>
      <w:r w:rsidR="00B001F4">
        <w:rPr>
          <w:rFonts w:ascii="Arial" w:hAnsi="Arial" w:cs="Arial"/>
          <w:sz w:val="24"/>
          <w:szCs w:val="24"/>
        </w:rPr>
        <w:t xml:space="preserve">the current </w:t>
      </w:r>
      <w:r w:rsidRPr="00EE2344">
        <w:rPr>
          <w:rFonts w:ascii="Arial" w:hAnsi="Arial" w:cs="Arial"/>
          <w:sz w:val="24"/>
          <w:szCs w:val="24"/>
        </w:rPr>
        <w:t>terms of re</w:t>
      </w:r>
      <w:r>
        <w:rPr>
          <w:rFonts w:ascii="Arial" w:hAnsi="Arial" w:cs="Arial"/>
          <w:sz w:val="24"/>
          <w:szCs w:val="24"/>
        </w:rPr>
        <w:t>f</w:t>
      </w:r>
      <w:r w:rsidRPr="00EE2344">
        <w:rPr>
          <w:rFonts w:ascii="Arial" w:hAnsi="Arial" w:cs="Arial"/>
          <w:sz w:val="24"/>
          <w:szCs w:val="24"/>
        </w:rPr>
        <w:t xml:space="preserve">erence, and will be </w:t>
      </w:r>
      <w:r w:rsidR="00B001F4">
        <w:rPr>
          <w:rFonts w:ascii="Arial" w:hAnsi="Arial" w:cs="Arial"/>
          <w:sz w:val="24"/>
          <w:szCs w:val="24"/>
        </w:rPr>
        <w:t xml:space="preserve">kept under review. </w:t>
      </w:r>
      <w:r>
        <w:rPr>
          <w:rFonts w:ascii="Arial" w:hAnsi="Arial" w:cs="Arial"/>
          <w:sz w:val="24"/>
          <w:szCs w:val="24"/>
        </w:rPr>
        <w:t>.</w:t>
      </w:r>
      <w:r w:rsidRPr="00EE2344">
        <w:rPr>
          <w:rFonts w:ascii="Arial" w:hAnsi="Arial" w:cs="Arial"/>
          <w:sz w:val="24"/>
          <w:szCs w:val="24"/>
        </w:rPr>
        <w:t xml:space="preserve"> </w:t>
      </w:r>
      <w:r w:rsidRPr="005B454E">
        <w:rPr>
          <w:rFonts w:ascii="Arial" w:hAnsi="Arial" w:cs="Arial"/>
          <w:sz w:val="24"/>
          <w:szCs w:val="24"/>
        </w:rPr>
        <w:t>It is important to keep arrangements flexible to respond to changes in planning policy, priorities and work programmes and to move forward from plan policy development stages to implementation</w:t>
      </w:r>
      <w:r>
        <w:rPr>
          <w:rFonts w:ascii="Arial" w:hAnsi="Arial" w:cs="Arial"/>
          <w:sz w:val="24"/>
          <w:szCs w:val="24"/>
        </w:rPr>
        <w:t xml:space="preserve">.  It is therefore anticipated that the terms of reference will continue to be reviewed annually. </w:t>
      </w:r>
      <w:r w:rsidRPr="005B454E">
        <w:rPr>
          <w:rFonts w:ascii="Arial" w:hAnsi="Arial" w:cs="Arial"/>
          <w:sz w:val="24"/>
          <w:szCs w:val="24"/>
        </w:rPr>
        <w:t xml:space="preserve"> </w:t>
      </w:r>
    </w:p>
    <w:p w14:paraId="021BBD35" w14:textId="77777777" w:rsidR="005F5F13" w:rsidRPr="006254B2" w:rsidRDefault="005F5F13" w:rsidP="00F45BF3">
      <w:pPr>
        <w:suppressAutoHyphens/>
        <w:autoSpaceDN w:val="0"/>
        <w:jc w:val="right"/>
        <w:textAlignment w:val="baseline"/>
        <w:rPr>
          <w:b/>
          <w:sz w:val="40"/>
          <w:szCs w:val="40"/>
        </w:rPr>
      </w:pPr>
      <w:r w:rsidRPr="006254B2">
        <w:rPr>
          <w:b/>
          <w:sz w:val="40"/>
          <w:szCs w:val="40"/>
        </w:rPr>
        <w:lastRenderedPageBreak/>
        <w:t>ANNEX  1</w:t>
      </w:r>
    </w:p>
    <w:p w14:paraId="7D364DA7" w14:textId="77777777" w:rsidR="005F5F13" w:rsidRPr="006254B2" w:rsidRDefault="005F5F13" w:rsidP="006254B2">
      <w:pPr>
        <w:suppressAutoHyphens/>
        <w:autoSpaceDN w:val="0"/>
        <w:spacing w:after="0"/>
        <w:textAlignment w:val="baseline"/>
        <w:rPr>
          <w:sz w:val="16"/>
          <w:szCs w:val="16"/>
        </w:rPr>
      </w:pPr>
    </w:p>
    <w:tbl>
      <w:tblPr>
        <w:tblW w:w="14604" w:type="dxa"/>
        <w:tblLayout w:type="fixed"/>
        <w:tblCellMar>
          <w:left w:w="10" w:type="dxa"/>
          <w:right w:w="10" w:type="dxa"/>
        </w:tblCellMar>
        <w:tblLook w:val="0000" w:firstRow="0" w:lastRow="0" w:firstColumn="0" w:lastColumn="0" w:noHBand="0" w:noVBand="0"/>
      </w:tblPr>
      <w:tblGrid>
        <w:gridCol w:w="624"/>
        <w:gridCol w:w="624"/>
        <w:gridCol w:w="236"/>
        <w:gridCol w:w="624"/>
        <w:gridCol w:w="624"/>
        <w:gridCol w:w="236"/>
        <w:gridCol w:w="624"/>
        <w:gridCol w:w="624"/>
        <w:gridCol w:w="236"/>
        <w:gridCol w:w="624"/>
        <w:gridCol w:w="624"/>
        <w:gridCol w:w="236"/>
        <w:gridCol w:w="624"/>
        <w:gridCol w:w="624"/>
        <w:gridCol w:w="236"/>
        <w:gridCol w:w="624"/>
        <w:gridCol w:w="624"/>
        <w:gridCol w:w="236"/>
        <w:gridCol w:w="624"/>
        <w:gridCol w:w="624"/>
        <w:gridCol w:w="236"/>
        <w:gridCol w:w="624"/>
        <w:gridCol w:w="624"/>
        <w:gridCol w:w="236"/>
        <w:gridCol w:w="624"/>
        <w:gridCol w:w="624"/>
        <w:gridCol w:w="236"/>
        <w:gridCol w:w="624"/>
        <w:gridCol w:w="624"/>
      </w:tblGrid>
      <w:tr w:rsidR="005F5F13" w:rsidRPr="007120C8" w14:paraId="741950CF" w14:textId="77777777" w:rsidTr="00637658">
        <w:tc>
          <w:tcPr>
            <w:tcW w:w="14604" w:type="dxa"/>
            <w:gridSpan w:val="29"/>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274DF0BD"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Local  Plans  and  Strategies</w:t>
            </w:r>
          </w:p>
        </w:tc>
      </w:tr>
      <w:tr w:rsidR="005F5F13" w:rsidRPr="007120C8" w14:paraId="72428303" w14:textId="77777777" w:rsidTr="00637658">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0A3E005A"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07A02696"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25F4EA36"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3FC9E96B"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400C7281"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3891A764"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46CF69B7"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1E1768C6"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031B3EDD"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474749F9"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14EDBD50"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7F846719"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15741D66"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22989A83"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536C5FDE"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7FA69E0A"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3609D008"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317E9A0D"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60E8A1B6"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5790BDC6"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66CD3C07"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6A84D658"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051FED33"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34DB8157"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63FDA8D7"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15432FD4" w14:textId="77777777" w:rsidR="005F5F13" w:rsidRPr="006254B2" w:rsidRDefault="005F5F13" w:rsidP="006254B2">
            <w:pPr>
              <w:suppressAutoHyphens/>
              <w:autoSpaceDN w:val="0"/>
              <w:spacing w:after="0" w:line="240" w:lineRule="auto"/>
              <w:textAlignment w:val="baseline"/>
              <w:rPr>
                <w:sz w:val="40"/>
                <w:szCs w:val="40"/>
              </w:rPr>
            </w:pPr>
          </w:p>
        </w:tc>
        <w:tc>
          <w:tcPr>
            <w:tcW w:w="236" w:type="dxa"/>
            <w:tcBorders>
              <w:top w:val="single" w:sz="18" w:space="0" w:color="000000"/>
            </w:tcBorders>
            <w:tcMar>
              <w:top w:w="0" w:type="dxa"/>
              <w:left w:w="108" w:type="dxa"/>
              <w:bottom w:w="0" w:type="dxa"/>
              <w:right w:w="108" w:type="dxa"/>
            </w:tcMar>
          </w:tcPr>
          <w:p w14:paraId="4D8E84D2"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bottom w:val="single" w:sz="18" w:space="0" w:color="000000"/>
              <w:right w:val="single" w:sz="18" w:space="0" w:color="000000"/>
            </w:tcBorders>
            <w:tcMar>
              <w:top w:w="0" w:type="dxa"/>
              <w:left w:w="108" w:type="dxa"/>
              <w:bottom w:w="0" w:type="dxa"/>
              <w:right w:w="108" w:type="dxa"/>
            </w:tcMar>
          </w:tcPr>
          <w:p w14:paraId="6F8A5DF4" w14:textId="77777777" w:rsidR="005F5F13" w:rsidRPr="006254B2" w:rsidRDefault="005F5F13" w:rsidP="006254B2">
            <w:pPr>
              <w:suppressAutoHyphens/>
              <w:autoSpaceDN w:val="0"/>
              <w:spacing w:after="0" w:line="240" w:lineRule="auto"/>
              <w:textAlignment w:val="baseline"/>
              <w:rPr>
                <w:sz w:val="40"/>
                <w:szCs w:val="40"/>
              </w:rPr>
            </w:pPr>
          </w:p>
        </w:tc>
        <w:tc>
          <w:tcPr>
            <w:tcW w:w="624" w:type="dxa"/>
            <w:tcBorders>
              <w:top w:val="single" w:sz="18" w:space="0" w:color="000000"/>
              <w:left w:val="single" w:sz="18" w:space="0" w:color="000000"/>
              <w:bottom w:val="single" w:sz="18" w:space="0" w:color="000000"/>
            </w:tcBorders>
            <w:tcMar>
              <w:top w:w="0" w:type="dxa"/>
              <w:left w:w="108" w:type="dxa"/>
              <w:bottom w:w="0" w:type="dxa"/>
              <w:right w:w="108" w:type="dxa"/>
            </w:tcMar>
          </w:tcPr>
          <w:p w14:paraId="2A434889" w14:textId="77777777" w:rsidR="005F5F13" w:rsidRPr="006254B2" w:rsidRDefault="005F5F13" w:rsidP="006254B2">
            <w:pPr>
              <w:suppressAutoHyphens/>
              <w:autoSpaceDN w:val="0"/>
              <w:spacing w:after="0" w:line="240" w:lineRule="auto"/>
              <w:textAlignment w:val="baseline"/>
              <w:rPr>
                <w:sz w:val="40"/>
                <w:szCs w:val="40"/>
              </w:rPr>
            </w:pPr>
          </w:p>
        </w:tc>
      </w:tr>
      <w:tr w:rsidR="005F5F13" w:rsidRPr="007120C8" w14:paraId="7DF795D9" w14:textId="77777777" w:rsidTr="00637658">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7CA902B9"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ECC</w:t>
            </w:r>
          </w:p>
        </w:tc>
        <w:tc>
          <w:tcPr>
            <w:tcW w:w="236" w:type="dxa"/>
            <w:tcBorders>
              <w:left w:val="single" w:sz="18" w:space="0" w:color="000000"/>
              <w:right w:val="single" w:sz="18" w:space="0" w:color="000000"/>
            </w:tcBorders>
            <w:tcMar>
              <w:top w:w="0" w:type="dxa"/>
              <w:left w:w="108" w:type="dxa"/>
              <w:bottom w:w="0" w:type="dxa"/>
              <w:right w:w="108" w:type="dxa"/>
            </w:tcMar>
          </w:tcPr>
          <w:p w14:paraId="7ADA5E20"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2659F99F"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EFDC</w:t>
            </w:r>
          </w:p>
        </w:tc>
        <w:tc>
          <w:tcPr>
            <w:tcW w:w="236" w:type="dxa"/>
            <w:tcBorders>
              <w:left w:val="single" w:sz="18" w:space="0" w:color="000000"/>
              <w:right w:val="single" w:sz="18" w:space="0" w:color="000000"/>
            </w:tcBorders>
            <w:tcMar>
              <w:top w:w="0" w:type="dxa"/>
              <w:left w:w="108" w:type="dxa"/>
              <w:bottom w:w="0" w:type="dxa"/>
              <w:right w:w="108" w:type="dxa"/>
            </w:tcMar>
          </w:tcPr>
          <w:p w14:paraId="64CA1650"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37C6D4D4"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UDC</w:t>
            </w:r>
          </w:p>
        </w:tc>
        <w:tc>
          <w:tcPr>
            <w:tcW w:w="236" w:type="dxa"/>
            <w:tcBorders>
              <w:left w:val="single" w:sz="18" w:space="0" w:color="000000"/>
              <w:right w:val="single" w:sz="18" w:space="0" w:color="000000"/>
            </w:tcBorders>
            <w:tcMar>
              <w:top w:w="0" w:type="dxa"/>
              <w:left w:w="108" w:type="dxa"/>
              <w:bottom w:w="0" w:type="dxa"/>
              <w:right w:w="108" w:type="dxa"/>
            </w:tcMar>
          </w:tcPr>
          <w:p w14:paraId="61DF93B8"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5932D75A"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HDC</w:t>
            </w:r>
          </w:p>
        </w:tc>
        <w:tc>
          <w:tcPr>
            <w:tcW w:w="236" w:type="dxa"/>
            <w:tcBorders>
              <w:left w:val="single" w:sz="18" w:space="0" w:color="000000"/>
              <w:right w:val="single" w:sz="18" w:space="0" w:color="000000"/>
            </w:tcBorders>
            <w:tcMar>
              <w:top w:w="0" w:type="dxa"/>
              <w:left w:w="108" w:type="dxa"/>
              <w:bottom w:w="0" w:type="dxa"/>
              <w:right w:w="108" w:type="dxa"/>
            </w:tcMar>
          </w:tcPr>
          <w:p w14:paraId="0E7C8BEA"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5B1038EB"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HCC</w:t>
            </w:r>
          </w:p>
        </w:tc>
        <w:tc>
          <w:tcPr>
            <w:tcW w:w="236" w:type="dxa"/>
            <w:tcBorders>
              <w:left w:val="single" w:sz="18" w:space="0" w:color="000000"/>
              <w:right w:val="single" w:sz="18" w:space="0" w:color="000000"/>
            </w:tcBorders>
            <w:tcMar>
              <w:top w:w="0" w:type="dxa"/>
              <w:left w:w="108" w:type="dxa"/>
              <w:bottom w:w="0" w:type="dxa"/>
              <w:right w:w="108" w:type="dxa"/>
            </w:tcMar>
          </w:tcPr>
          <w:p w14:paraId="18646FF5"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6027C2A6" w14:textId="77777777" w:rsidR="005F5F13" w:rsidRPr="006254B2" w:rsidRDefault="005F5F13" w:rsidP="006254B2">
            <w:pPr>
              <w:suppressAutoHyphens/>
              <w:autoSpaceDN w:val="0"/>
              <w:spacing w:after="0" w:line="240" w:lineRule="auto"/>
              <w:jc w:val="center"/>
              <w:textAlignment w:val="baseline"/>
              <w:rPr>
                <w:b/>
                <w:sz w:val="40"/>
                <w:szCs w:val="40"/>
              </w:rPr>
            </w:pPr>
            <w:r>
              <w:rPr>
                <w:b/>
                <w:sz w:val="40"/>
                <w:szCs w:val="40"/>
              </w:rPr>
              <w:t>BB</w:t>
            </w:r>
            <w:r w:rsidRPr="006254B2">
              <w:rPr>
                <w:b/>
                <w:sz w:val="40"/>
                <w:szCs w:val="40"/>
              </w:rPr>
              <w:t>C</w:t>
            </w:r>
          </w:p>
        </w:tc>
        <w:tc>
          <w:tcPr>
            <w:tcW w:w="236" w:type="dxa"/>
            <w:tcBorders>
              <w:left w:val="single" w:sz="18" w:space="0" w:color="000000"/>
              <w:right w:val="single" w:sz="18" w:space="0" w:color="000000"/>
            </w:tcBorders>
            <w:tcMar>
              <w:top w:w="0" w:type="dxa"/>
              <w:left w:w="108" w:type="dxa"/>
              <w:bottom w:w="0" w:type="dxa"/>
              <w:right w:w="108" w:type="dxa"/>
            </w:tcMar>
          </w:tcPr>
          <w:p w14:paraId="7063406E"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2AABABE8"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EHDC</w:t>
            </w:r>
          </w:p>
        </w:tc>
        <w:tc>
          <w:tcPr>
            <w:tcW w:w="236" w:type="dxa"/>
            <w:tcBorders>
              <w:left w:val="single" w:sz="18" w:space="0" w:color="000000"/>
              <w:right w:val="single" w:sz="18" w:space="0" w:color="000000"/>
            </w:tcBorders>
            <w:tcMar>
              <w:top w:w="0" w:type="dxa"/>
              <w:left w:w="108" w:type="dxa"/>
              <w:bottom w:w="0" w:type="dxa"/>
              <w:right w:w="108" w:type="dxa"/>
            </w:tcMar>
          </w:tcPr>
          <w:p w14:paraId="16EEA525"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5C424951"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LBR</w:t>
            </w:r>
          </w:p>
        </w:tc>
        <w:tc>
          <w:tcPr>
            <w:tcW w:w="236" w:type="dxa"/>
            <w:tcBorders>
              <w:left w:val="single" w:sz="18" w:space="0" w:color="000000"/>
              <w:right w:val="single" w:sz="18" w:space="0" w:color="000000"/>
            </w:tcBorders>
            <w:tcMar>
              <w:top w:w="0" w:type="dxa"/>
              <w:left w:w="108" w:type="dxa"/>
              <w:bottom w:w="0" w:type="dxa"/>
              <w:right w:w="108" w:type="dxa"/>
            </w:tcMar>
          </w:tcPr>
          <w:p w14:paraId="76039033"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01BFE453"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LBWF</w:t>
            </w:r>
          </w:p>
        </w:tc>
        <w:tc>
          <w:tcPr>
            <w:tcW w:w="236" w:type="dxa"/>
            <w:tcBorders>
              <w:left w:val="single" w:sz="18" w:space="0" w:color="000000"/>
              <w:right w:val="single" w:sz="18" w:space="0" w:color="000000"/>
            </w:tcBorders>
            <w:tcMar>
              <w:top w:w="0" w:type="dxa"/>
              <w:left w:w="108" w:type="dxa"/>
              <w:bottom w:w="0" w:type="dxa"/>
              <w:right w:w="108" w:type="dxa"/>
            </w:tcMar>
          </w:tcPr>
          <w:p w14:paraId="39A6F7EE" w14:textId="77777777" w:rsidR="005F5F13" w:rsidRPr="006254B2" w:rsidRDefault="005F5F13" w:rsidP="006254B2">
            <w:pPr>
              <w:suppressAutoHyphens/>
              <w:autoSpaceDN w:val="0"/>
              <w:spacing w:after="0" w:line="240" w:lineRule="auto"/>
              <w:jc w:val="center"/>
              <w:textAlignment w:val="baseline"/>
              <w:rPr>
                <w:b/>
                <w:sz w:val="40"/>
                <w:szCs w:val="40"/>
              </w:rPr>
            </w:pPr>
          </w:p>
        </w:tc>
        <w:tc>
          <w:tcPr>
            <w:tcW w:w="1248"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55822CA5" w14:textId="77777777" w:rsidR="005F5F13" w:rsidRPr="006254B2" w:rsidRDefault="005F5F13" w:rsidP="006254B2">
            <w:pPr>
              <w:suppressAutoHyphens/>
              <w:autoSpaceDN w:val="0"/>
              <w:spacing w:after="0" w:line="240" w:lineRule="auto"/>
              <w:jc w:val="center"/>
              <w:textAlignment w:val="baseline"/>
              <w:rPr>
                <w:b/>
                <w:sz w:val="40"/>
                <w:szCs w:val="40"/>
              </w:rPr>
            </w:pPr>
            <w:r w:rsidRPr="006254B2">
              <w:rPr>
                <w:b/>
                <w:sz w:val="40"/>
                <w:szCs w:val="40"/>
              </w:rPr>
              <w:t>LBE</w:t>
            </w:r>
          </w:p>
        </w:tc>
      </w:tr>
    </w:tbl>
    <w:p w14:paraId="14DA9A20" w14:textId="77777777" w:rsidR="005F5F13" w:rsidRPr="006254B2" w:rsidRDefault="005F5F13" w:rsidP="006254B2">
      <w:pPr>
        <w:suppressAutoHyphens/>
        <w:autoSpaceDN w:val="0"/>
        <w:textAlignment w:val="baseline"/>
      </w:pPr>
    </w:p>
    <w:tbl>
      <w:tblPr>
        <w:tblW w:w="14174" w:type="dxa"/>
        <w:tblCellMar>
          <w:left w:w="10" w:type="dxa"/>
          <w:right w:w="10" w:type="dxa"/>
        </w:tblCellMar>
        <w:tblLook w:val="0000" w:firstRow="0" w:lastRow="0" w:firstColumn="0" w:lastColumn="0" w:noHBand="0" w:noVBand="0"/>
      </w:tblPr>
      <w:tblGrid>
        <w:gridCol w:w="1417"/>
        <w:gridCol w:w="1417"/>
        <w:gridCol w:w="1417"/>
        <w:gridCol w:w="1417"/>
        <w:gridCol w:w="1417"/>
        <w:gridCol w:w="1417"/>
        <w:gridCol w:w="1418"/>
        <w:gridCol w:w="1418"/>
        <w:gridCol w:w="1418"/>
        <w:gridCol w:w="1418"/>
      </w:tblGrid>
      <w:tr w:rsidR="005F5F13" w:rsidRPr="007120C8" w14:paraId="6A75D760" w14:textId="77777777" w:rsidTr="00637658">
        <w:tc>
          <w:tcPr>
            <w:tcW w:w="4251" w:type="dxa"/>
            <w:gridSpan w:val="3"/>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21578ACE" w14:textId="77777777" w:rsidR="005F5F13" w:rsidRPr="006254B2" w:rsidRDefault="005F5F13" w:rsidP="006254B2">
            <w:pPr>
              <w:suppressAutoHyphens/>
              <w:autoSpaceDN w:val="0"/>
              <w:spacing w:after="0" w:line="240" w:lineRule="auto"/>
              <w:jc w:val="center"/>
              <w:textAlignment w:val="baseline"/>
              <w:rPr>
                <w:b/>
                <w:sz w:val="32"/>
                <w:szCs w:val="32"/>
              </w:rPr>
            </w:pPr>
            <w:r w:rsidRPr="006254B2">
              <w:rPr>
                <w:b/>
                <w:sz w:val="32"/>
                <w:szCs w:val="32"/>
              </w:rPr>
              <w:t xml:space="preserve">Cooperation  for  </w:t>
            </w:r>
          </w:p>
          <w:p w14:paraId="3674B7C2" w14:textId="77777777" w:rsidR="005F5F13" w:rsidRPr="006254B2" w:rsidRDefault="005F5F13" w:rsidP="006254B2">
            <w:pPr>
              <w:suppressAutoHyphens/>
              <w:autoSpaceDN w:val="0"/>
              <w:spacing w:after="0" w:line="240" w:lineRule="auto"/>
              <w:jc w:val="center"/>
              <w:textAlignment w:val="baseline"/>
              <w:rPr>
                <w:b/>
                <w:sz w:val="32"/>
                <w:szCs w:val="32"/>
              </w:rPr>
            </w:pPr>
            <w:r w:rsidRPr="006254B2">
              <w:rPr>
                <w:b/>
                <w:sz w:val="32"/>
                <w:szCs w:val="32"/>
              </w:rPr>
              <w:t>Sustainable Development  Board</w:t>
            </w:r>
          </w:p>
          <w:p w14:paraId="36BA6CC9" w14:textId="77777777" w:rsidR="005F5F13" w:rsidRPr="006254B2" w:rsidRDefault="005F5F13" w:rsidP="006254B2">
            <w:pPr>
              <w:suppressAutoHyphens/>
              <w:autoSpaceDN w:val="0"/>
              <w:spacing w:after="0" w:line="240" w:lineRule="auto"/>
              <w:jc w:val="center"/>
              <w:textAlignment w:val="baseline"/>
              <w:rPr>
                <w:b/>
                <w:sz w:val="32"/>
                <w:szCs w:val="32"/>
              </w:rPr>
            </w:pPr>
            <w:r w:rsidRPr="006254B2">
              <w:rPr>
                <w:b/>
                <w:sz w:val="32"/>
                <w:szCs w:val="32"/>
              </w:rPr>
              <w:t xml:space="preserve">  ( members )</w:t>
            </w:r>
          </w:p>
        </w:tc>
        <w:tc>
          <w:tcPr>
            <w:tcW w:w="1417" w:type="dxa"/>
            <w:tcBorders>
              <w:left w:val="single" w:sz="18" w:space="0" w:color="000000"/>
            </w:tcBorders>
            <w:tcMar>
              <w:top w:w="0" w:type="dxa"/>
              <w:left w:w="108" w:type="dxa"/>
              <w:bottom w:w="0" w:type="dxa"/>
              <w:right w:w="108" w:type="dxa"/>
            </w:tcMar>
          </w:tcPr>
          <w:p w14:paraId="28EC36A9" w14:textId="77777777" w:rsidR="005F5F13" w:rsidRPr="006254B2" w:rsidRDefault="00C50EC2" w:rsidP="006254B2">
            <w:pPr>
              <w:suppressAutoHyphens/>
              <w:autoSpaceDN w:val="0"/>
              <w:spacing w:after="0" w:line="240" w:lineRule="auto"/>
              <w:textAlignment w:val="baseline"/>
            </w:pPr>
            <w:r>
              <w:rPr>
                <w:noProof/>
                <w:lang w:eastAsia="en-GB"/>
              </w:rPr>
              <mc:AlternateContent>
                <mc:Choice Requires="wps">
                  <w:drawing>
                    <wp:anchor distT="0" distB="0" distL="114300" distR="114300" simplePos="0" relativeHeight="251628544" behindDoc="0" locked="0" layoutInCell="1" allowOverlap="1" wp14:anchorId="2E57490F" wp14:editId="659A8CAE">
                      <wp:simplePos x="0" y="0"/>
                      <wp:positionH relativeFrom="column">
                        <wp:posOffset>-56515</wp:posOffset>
                      </wp:positionH>
                      <wp:positionV relativeFrom="paragraph">
                        <wp:posOffset>176530</wp:posOffset>
                      </wp:positionV>
                      <wp:extent cx="3581400" cy="0"/>
                      <wp:effectExtent l="29210" t="119380" r="37465" b="118745"/>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straightConnector1">
                                <a:avLst/>
                              </a:prstGeom>
                              <a:noFill/>
                              <a:ln w="38102">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43633" id="_x0000_t32" coordsize="21600,21600" o:spt="32" o:oned="t" path="m,l21600,21600e" filled="f">
                      <v:path arrowok="t" fillok="f" o:connecttype="none"/>
                      <o:lock v:ext="edit" shapetype="t"/>
                    </v:shapetype>
                    <v:shape id="Straight Arrow Connector 1" o:spid="_x0000_s1026" type="#_x0000_t32" style="position:absolute;margin-left:-4.45pt;margin-top:13.9pt;width:282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" strokeweight="1.0584mm">
                      <v:stroke startarrow="open" endarrow="open"/>
                    </v:shape>
                  </w:pict>
                </mc:Fallback>
              </mc:AlternateContent>
            </w:r>
          </w:p>
        </w:tc>
        <w:tc>
          <w:tcPr>
            <w:tcW w:w="1417" w:type="dxa"/>
            <w:tcMar>
              <w:top w:w="0" w:type="dxa"/>
              <w:left w:w="108" w:type="dxa"/>
              <w:bottom w:w="0" w:type="dxa"/>
              <w:right w:w="108" w:type="dxa"/>
            </w:tcMar>
          </w:tcPr>
          <w:p w14:paraId="08F9AA7E"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Mar>
              <w:top w:w="0" w:type="dxa"/>
              <w:left w:w="108" w:type="dxa"/>
              <w:bottom w:w="0" w:type="dxa"/>
              <w:right w:w="108" w:type="dxa"/>
            </w:tcMar>
          </w:tcPr>
          <w:p w14:paraId="6D0E66FB" w14:textId="77777777" w:rsidR="005F5F13" w:rsidRPr="006254B2" w:rsidRDefault="005F5F13" w:rsidP="006254B2">
            <w:pPr>
              <w:suppressAutoHyphens/>
              <w:autoSpaceDN w:val="0"/>
              <w:spacing w:after="0" w:line="240" w:lineRule="auto"/>
              <w:textAlignment w:val="baseline"/>
              <w:rPr>
                <w:sz w:val="24"/>
                <w:szCs w:val="24"/>
              </w:rPr>
            </w:pPr>
          </w:p>
        </w:tc>
        <w:tc>
          <w:tcPr>
            <w:tcW w:w="1418" w:type="dxa"/>
            <w:tcBorders>
              <w:right w:val="single" w:sz="18" w:space="0" w:color="000000"/>
            </w:tcBorders>
            <w:tcMar>
              <w:top w:w="0" w:type="dxa"/>
              <w:left w:w="108" w:type="dxa"/>
              <w:bottom w:w="0" w:type="dxa"/>
              <w:right w:w="108" w:type="dxa"/>
            </w:tcMar>
          </w:tcPr>
          <w:p w14:paraId="5C91A8C3" w14:textId="77777777" w:rsidR="005F5F13" w:rsidRPr="006254B2" w:rsidRDefault="005F5F13" w:rsidP="006254B2">
            <w:pPr>
              <w:suppressAutoHyphens/>
              <w:autoSpaceDN w:val="0"/>
              <w:spacing w:after="0" w:line="240" w:lineRule="auto"/>
              <w:textAlignment w:val="baseline"/>
              <w:rPr>
                <w:sz w:val="24"/>
                <w:szCs w:val="24"/>
              </w:rPr>
            </w:pPr>
          </w:p>
        </w:tc>
        <w:tc>
          <w:tcPr>
            <w:tcW w:w="4254" w:type="dxa"/>
            <w:gridSpan w:val="3"/>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5B042B29" w14:textId="77777777" w:rsidR="005F5F13" w:rsidRPr="006254B2" w:rsidRDefault="005F5F13" w:rsidP="006254B2">
            <w:pPr>
              <w:suppressAutoHyphens/>
              <w:autoSpaceDN w:val="0"/>
              <w:spacing w:after="0" w:line="240" w:lineRule="auto"/>
              <w:textAlignment w:val="baseline"/>
              <w:rPr>
                <w:b/>
                <w:sz w:val="28"/>
                <w:szCs w:val="28"/>
              </w:rPr>
            </w:pPr>
          </w:p>
          <w:p w14:paraId="49F8BA6E" w14:textId="77777777" w:rsidR="005F5F13" w:rsidRPr="006254B2" w:rsidRDefault="005F5F13" w:rsidP="006254B2">
            <w:pPr>
              <w:suppressAutoHyphens/>
              <w:autoSpaceDN w:val="0"/>
              <w:spacing w:after="0" w:line="240" w:lineRule="auto"/>
              <w:textAlignment w:val="baseline"/>
              <w:rPr>
                <w:b/>
                <w:sz w:val="28"/>
                <w:szCs w:val="28"/>
              </w:rPr>
            </w:pPr>
            <w:r w:rsidRPr="006254B2">
              <w:rPr>
                <w:b/>
                <w:sz w:val="28"/>
                <w:szCs w:val="28"/>
              </w:rPr>
              <w:t>LEPs  :-</w:t>
            </w:r>
          </w:p>
          <w:p w14:paraId="6614F56F" w14:textId="77777777" w:rsidR="005F5F13" w:rsidRPr="006254B2" w:rsidRDefault="005F5F13" w:rsidP="006254B2">
            <w:pPr>
              <w:numPr>
                <w:ilvl w:val="0"/>
                <w:numId w:val="1"/>
              </w:numPr>
              <w:suppressAutoHyphens/>
              <w:autoSpaceDN w:val="0"/>
              <w:spacing w:after="0" w:line="240" w:lineRule="auto"/>
              <w:ind w:left="995" w:hanging="283"/>
              <w:textAlignment w:val="baseline"/>
              <w:rPr>
                <w:b/>
                <w:sz w:val="28"/>
                <w:szCs w:val="28"/>
              </w:rPr>
            </w:pPr>
            <w:r w:rsidRPr="006254B2">
              <w:rPr>
                <w:b/>
                <w:sz w:val="28"/>
                <w:szCs w:val="28"/>
              </w:rPr>
              <w:t xml:space="preserve">South  East </w:t>
            </w:r>
          </w:p>
          <w:p w14:paraId="4D189D9B" w14:textId="77777777" w:rsidR="005F5F13" w:rsidRPr="006254B2" w:rsidRDefault="005F5F13" w:rsidP="006254B2">
            <w:pPr>
              <w:numPr>
                <w:ilvl w:val="0"/>
                <w:numId w:val="1"/>
              </w:numPr>
              <w:suppressAutoHyphens/>
              <w:autoSpaceDN w:val="0"/>
              <w:spacing w:after="0" w:line="240" w:lineRule="auto"/>
              <w:ind w:left="995" w:hanging="283"/>
              <w:textAlignment w:val="baseline"/>
              <w:rPr>
                <w:b/>
                <w:sz w:val="28"/>
                <w:szCs w:val="28"/>
              </w:rPr>
            </w:pPr>
            <w:r w:rsidRPr="006254B2">
              <w:rPr>
                <w:b/>
                <w:sz w:val="28"/>
                <w:szCs w:val="28"/>
              </w:rPr>
              <w:t xml:space="preserve"> Hertfordshire</w:t>
            </w:r>
          </w:p>
          <w:p w14:paraId="44632DEE" w14:textId="77777777" w:rsidR="005F5F13" w:rsidRPr="006254B2" w:rsidRDefault="005F5F13" w:rsidP="006254B2">
            <w:pPr>
              <w:numPr>
                <w:ilvl w:val="0"/>
                <w:numId w:val="1"/>
              </w:numPr>
              <w:suppressAutoHyphens/>
              <w:autoSpaceDN w:val="0"/>
              <w:spacing w:after="0" w:line="240" w:lineRule="auto"/>
              <w:ind w:left="995" w:hanging="283"/>
              <w:textAlignment w:val="baseline"/>
              <w:rPr>
                <w:b/>
                <w:sz w:val="28"/>
                <w:szCs w:val="28"/>
              </w:rPr>
            </w:pPr>
            <w:r w:rsidRPr="006254B2">
              <w:rPr>
                <w:b/>
                <w:sz w:val="28"/>
                <w:szCs w:val="28"/>
              </w:rPr>
              <w:t>Greater  Cambridge  and</w:t>
            </w:r>
          </w:p>
          <w:p w14:paraId="2BE5EF82" w14:textId="77777777" w:rsidR="005F5F13" w:rsidRPr="006254B2" w:rsidRDefault="005F5F13" w:rsidP="006254B2">
            <w:pPr>
              <w:suppressAutoHyphens/>
              <w:autoSpaceDN w:val="0"/>
              <w:spacing w:after="0" w:line="240" w:lineRule="auto"/>
              <w:ind w:left="995" w:hanging="283"/>
              <w:textAlignment w:val="baseline"/>
              <w:rPr>
                <w:b/>
                <w:sz w:val="28"/>
                <w:szCs w:val="28"/>
              </w:rPr>
            </w:pPr>
            <w:r w:rsidRPr="006254B2">
              <w:rPr>
                <w:b/>
                <w:sz w:val="28"/>
                <w:szCs w:val="28"/>
              </w:rPr>
              <w:t xml:space="preserve">          Greater  Peterborough</w:t>
            </w:r>
          </w:p>
          <w:p w14:paraId="2F222538" w14:textId="77777777" w:rsidR="005F5F13" w:rsidRPr="006254B2" w:rsidRDefault="005F5F13" w:rsidP="006254B2">
            <w:pPr>
              <w:numPr>
                <w:ilvl w:val="0"/>
                <w:numId w:val="1"/>
              </w:numPr>
              <w:suppressAutoHyphens/>
              <w:autoSpaceDN w:val="0"/>
              <w:spacing w:after="0" w:line="240" w:lineRule="auto"/>
              <w:ind w:left="995" w:hanging="283"/>
              <w:textAlignment w:val="baseline"/>
              <w:rPr>
                <w:b/>
                <w:sz w:val="28"/>
                <w:szCs w:val="28"/>
              </w:rPr>
            </w:pPr>
            <w:r w:rsidRPr="006254B2">
              <w:rPr>
                <w:b/>
                <w:sz w:val="28"/>
                <w:szCs w:val="28"/>
              </w:rPr>
              <w:t xml:space="preserve">London  Enterprise  Panel         </w:t>
            </w:r>
          </w:p>
          <w:p w14:paraId="4BFAAAC3" w14:textId="77777777" w:rsidR="005F5F13" w:rsidRPr="006254B2" w:rsidRDefault="005F5F13" w:rsidP="006254B2">
            <w:pPr>
              <w:suppressAutoHyphens/>
              <w:autoSpaceDN w:val="0"/>
              <w:spacing w:after="0" w:line="240" w:lineRule="auto"/>
              <w:textAlignment w:val="baseline"/>
              <w:rPr>
                <w:b/>
                <w:sz w:val="28"/>
                <w:szCs w:val="28"/>
              </w:rPr>
            </w:pPr>
          </w:p>
        </w:tc>
      </w:tr>
      <w:tr w:rsidR="005F5F13" w:rsidRPr="007120C8" w14:paraId="1B7FEB04" w14:textId="77777777" w:rsidTr="00637658">
        <w:tc>
          <w:tcPr>
            <w:tcW w:w="4251"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45D4643A" w14:textId="77777777" w:rsidR="005F5F13" w:rsidRPr="006254B2" w:rsidRDefault="005F5F13" w:rsidP="006254B2">
            <w:pPr>
              <w:suppressAutoHyphens/>
              <w:autoSpaceDN w:val="0"/>
              <w:spacing w:after="0" w:line="240" w:lineRule="auto"/>
              <w:jc w:val="center"/>
              <w:textAlignment w:val="baseline"/>
              <w:rPr>
                <w:b/>
                <w:sz w:val="32"/>
                <w:szCs w:val="32"/>
              </w:rPr>
            </w:pPr>
          </w:p>
        </w:tc>
        <w:tc>
          <w:tcPr>
            <w:tcW w:w="1417" w:type="dxa"/>
            <w:tcBorders>
              <w:left w:val="single" w:sz="18" w:space="0" w:color="000000"/>
            </w:tcBorders>
            <w:tcMar>
              <w:top w:w="0" w:type="dxa"/>
              <w:left w:w="108" w:type="dxa"/>
              <w:bottom w:w="0" w:type="dxa"/>
              <w:right w:w="108" w:type="dxa"/>
            </w:tcMar>
          </w:tcPr>
          <w:p w14:paraId="0015E38F"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bottom w:val="single" w:sz="18" w:space="0" w:color="000000"/>
            </w:tcBorders>
            <w:tcMar>
              <w:top w:w="0" w:type="dxa"/>
              <w:left w:w="108" w:type="dxa"/>
              <w:bottom w:w="0" w:type="dxa"/>
              <w:right w:w="108" w:type="dxa"/>
            </w:tcMar>
          </w:tcPr>
          <w:p w14:paraId="62C79A4C"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bottom w:val="single" w:sz="18" w:space="0" w:color="000000"/>
            </w:tcBorders>
            <w:tcMar>
              <w:top w:w="0" w:type="dxa"/>
              <w:left w:w="108" w:type="dxa"/>
              <w:bottom w:w="0" w:type="dxa"/>
              <w:right w:w="108" w:type="dxa"/>
            </w:tcMar>
          </w:tcPr>
          <w:p w14:paraId="1E773C0A" w14:textId="77777777" w:rsidR="005F5F13" w:rsidRPr="006254B2" w:rsidRDefault="005F5F13" w:rsidP="006254B2">
            <w:pPr>
              <w:suppressAutoHyphens/>
              <w:autoSpaceDN w:val="0"/>
              <w:spacing w:after="0" w:line="240" w:lineRule="auto"/>
              <w:textAlignment w:val="baseline"/>
              <w:rPr>
                <w:sz w:val="24"/>
                <w:szCs w:val="24"/>
              </w:rPr>
            </w:pPr>
          </w:p>
        </w:tc>
        <w:tc>
          <w:tcPr>
            <w:tcW w:w="1418" w:type="dxa"/>
            <w:tcBorders>
              <w:right w:val="single" w:sz="18" w:space="0" w:color="000000"/>
            </w:tcBorders>
            <w:tcMar>
              <w:top w:w="0" w:type="dxa"/>
              <w:left w:w="108" w:type="dxa"/>
              <w:bottom w:w="0" w:type="dxa"/>
              <w:right w:w="108" w:type="dxa"/>
            </w:tcMar>
          </w:tcPr>
          <w:p w14:paraId="5F47185C" w14:textId="77777777" w:rsidR="005F5F13" w:rsidRPr="006254B2" w:rsidRDefault="005F5F13" w:rsidP="006254B2">
            <w:pPr>
              <w:suppressAutoHyphens/>
              <w:autoSpaceDN w:val="0"/>
              <w:spacing w:after="0" w:line="240" w:lineRule="auto"/>
              <w:textAlignment w:val="baseline"/>
              <w:rPr>
                <w:sz w:val="24"/>
                <w:szCs w:val="24"/>
              </w:rPr>
            </w:pPr>
          </w:p>
        </w:tc>
        <w:tc>
          <w:tcPr>
            <w:tcW w:w="4254"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457E5B43" w14:textId="77777777" w:rsidR="005F5F13" w:rsidRPr="006254B2" w:rsidRDefault="005F5F13" w:rsidP="006254B2">
            <w:pPr>
              <w:suppressAutoHyphens/>
              <w:autoSpaceDN w:val="0"/>
              <w:spacing w:after="0" w:line="240" w:lineRule="auto"/>
              <w:textAlignment w:val="baseline"/>
              <w:rPr>
                <w:b/>
                <w:sz w:val="24"/>
                <w:szCs w:val="24"/>
              </w:rPr>
            </w:pPr>
          </w:p>
        </w:tc>
      </w:tr>
      <w:tr w:rsidR="005F5F13" w:rsidRPr="007120C8" w14:paraId="67F756E6" w14:textId="77777777" w:rsidTr="00637658">
        <w:tc>
          <w:tcPr>
            <w:tcW w:w="4251"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1567AB7B"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left w:val="single" w:sz="18" w:space="0" w:color="000000"/>
              <w:right w:val="single" w:sz="18" w:space="0" w:color="000000"/>
            </w:tcBorders>
            <w:tcMar>
              <w:top w:w="0" w:type="dxa"/>
              <w:left w:w="108" w:type="dxa"/>
              <w:bottom w:w="0" w:type="dxa"/>
              <w:right w:w="108" w:type="dxa"/>
            </w:tcMar>
          </w:tcPr>
          <w:p w14:paraId="452A5BE9" w14:textId="77777777" w:rsidR="005F5F13" w:rsidRPr="006254B2" w:rsidRDefault="00C50EC2" w:rsidP="006254B2">
            <w:pPr>
              <w:suppressAutoHyphens/>
              <w:autoSpaceDN w:val="0"/>
              <w:spacing w:after="0" w:line="240" w:lineRule="auto"/>
              <w:textAlignment w:val="baseline"/>
            </w:pPr>
            <w:r>
              <w:rPr>
                <w:noProof/>
                <w:lang w:eastAsia="en-GB"/>
              </w:rPr>
              <mc:AlternateContent>
                <mc:Choice Requires="wps">
                  <w:drawing>
                    <wp:anchor distT="0" distB="0" distL="114300" distR="114300" simplePos="0" relativeHeight="251630592" behindDoc="0" locked="0" layoutInCell="1" allowOverlap="1" wp14:anchorId="7513CCF1" wp14:editId="13AA42AC">
                      <wp:simplePos x="0" y="0"/>
                      <wp:positionH relativeFrom="column">
                        <wp:posOffset>-55880</wp:posOffset>
                      </wp:positionH>
                      <wp:positionV relativeFrom="paragraph">
                        <wp:posOffset>94615</wp:posOffset>
                      </wp:positionV>
                      <wp:extent cx="871220" cy="9525"/>
                      <wp:effectExtent l="20320" t="123190" r="32385" b="10541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220" cy="9525"/>
                              </a:xfrm>
                              <a:prstGeom prst="straightConnector1">
                                <a:avLst/>
                              </a:prstGeom>
                              <a:noFill/>
                              <a:ln w="38102">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A4460" id="Straight Arrow Connector 2" o:spid="_x0000_s1026" type="#_x0000_t32" style="position:absolute;margin-left:-4.4pt;margin-top:7.45pt;width:68.6pt;height:.7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" strokeweight="1.0584mm">
                      <v:stroke endarrow="open"/>
                    </v:shape>
                  </w:pict>
                </mc:Fallback>
              </mc:AlternateContent>
            </w:r>
          </w:p>
        </w:tc>
        <w:tc>
          <w:tcPr>
            <w:tcW w:w="2834"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0514C567" w14:textId="77777777" w:rsidR="005F5F13" w:rsidRPr="006254B2" w:rsidRDefault="005F5F13" w:rsidP="006254B2">
            <w:pPr>
              <w:suppressAutoHyphens/>
              <w:autoSpaceDN w:val="0"/>
              <w:spacing w:after="0" w:line="240" w:lineRule="auto"/>
              <w:jc w:val="center"/>
              <w:textAlignment w:val="baseline"/>
              <w:rPr>
                <w:b/>
                <w:sz w:val="32"/>
                <w:szCs w:val="32"/>
              </w:rPr>
            </w:pPr>
            <w:r w:rsidRPr="006254B2">
              <w:rPr>
                <w:b/>
                <w:sz w:val="32"/>
                <w:szCs w:val="32"/>
              </w:rPr>
              <w:t>E</w:t>
            </w:r>
            <w:r>
              <w:rPr>
                <w:b/>
                <w:sz w:val="32"/>
                <w:szCs w:val="32"/>
              </w:rPr>
              <w:t>E</w:t>
            </w:r>
            <w:r w:rsidRPr="006254B2">
              <w:rPr>
                <w:b/>
                <w:sz w:val="32"/>
                <w:szCs w:val="32"/>
              </w:rPr>
              <w:t>HBLG</w:t>
            </w:r>
          </w:p>
        </w:tc>
        <w:tc>
          <w:tcPr>
            <w:tcW w:w="1418" w:type="dxa"/>
            <w:tcBorders>
              <w:left w:val="single" w:sz="18" w:space="0" w:color="000000"/>
              <w:right w:val="single" w:sz="18" w:space="0" w:color="000000"/>
            </w:tcBorders>
            <w:tcMar>
              <w:top w:w="0" w:type="dxa"/>
              <w:left w:w="108" w:type="dxa"/>
              <w:bottom w:w="0" w:type="dxa"/>
              <w:right w:w="108" w:type="dxa"/>
            </w:tcMar>
          </w:tcPr>
          <w:p w14:paraId="08E5A609" w14:textId="77777777" w:rsidR="005F5F13" w:rsidRPr="006254B2" w:rsidRDefault="005F5F13" w:rsidP="006254B2">
            <w:pPr>
              <w:suppressAutoHyphens/>
              <w:autoSpaceDN w:val="0"/>
              <w:spacing w:after="0" w:line="240" w:lineRule="auto"/>
              <w:textAlignment w:val="baseline"/>
              <w:rPr>
                <w:sz w:val="24"/>
                <w:szCs w:val="24"/>
              </w:rPr>
            </w:pPr>
          </w:p>
        </w:tc>
        <w:tc>
          <w:tcPr>
            <w:tcW w:w="4254"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6D1F61C9" w14:textId="77777777" w:rsidR="005F5F13" w:rsidRPr="006254B2" w:rsidRDefault="005F5F13" w:rsidP="006254B2">
            <w:pPr>
              <w:suppressAutoHyphens/>
              <w:autoSpaceDN w:val="0"/>
              <w:spacing w:after="0" w:line="240" w:lineRule="auto"/>
              <w:textAlignment w:val="baseline"/>
              <w:rPr>
                <w:sz w:val="24"/>
                <w:szCs w:val="24"/>
              </w:rPr>
            </w:pPr>
          </w:p>
        </w:tc>
      </w:tr>
      <w:tr w:rsidR="005F5F13" w:rsidRPr="007120C8" w14:paraId="2623AFBF" w14:textId="77777777" w:rsidTr="00637658">
        <w:tc>
          <w:tcPr>
            <w:tcW w:w="4251"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16CDB190"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left w:val="single" w:sz="18" w:space="0" w:color="000000"/>
            </w:tcBorders>
            <w:tcMar>
              <w:top w:w="0" w:type="dxa"/>
              <w:left w:w="108" w:type="dxa"/>
              <w:bottom w:w="0" w:type="dxa"/>
              <w:right w:w="108" w:type="dxa"/>
            </w:tcMar>
          </w:tcPr>
          <w:p w14:paraId="6C21AC63"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top w:val="single" w:sz="18" w:space="0" w:color="000000"/>
              <w:bottom w:val="single" w:sz="18" w:space="0" w:color="000000"/>
            </w:tcBorders>
            <w:tcMar>
              <w:top w:w="0" w:type="dxa"/>
              <w:left w:w="108" w:type="dxa"/>
              <w:bottom w:w="0" w:type="dxa"/>
              <w:right w:w="108" w:type="dxa"/>
            </w:tcMar>
          </w:tcPr>
          <w:p w14:paraId="62DF5251" w14:textId="77777777" w:rsidR="005F5F13" w:rsidRPr="006254B2" w:rsidRDefault="005F5F13" w:rsidP="006254B2">
            <w:pPr>
              <w:suppressAutoHyphens/>
              <w:autoSpaceDN w:val="0"/>
              <w:spacing w:after="0" w:line="240" w:lineRule="auto"/>
              <w:jc w:val="center"/>
              <w:textAlignment w:val="baseline"/>
              <w:rPr>
                <w:b/>
                <w:sz w:val="24"/>
                <w:szCs w:val="24"/>
              </w:rPr>
            </w:pPr>
          </w:p>
        </w:tc>
        <w:tc>
          <w:tcPr>
            <w:tcW w:w="1417" w:type="dxa"/>
            <w:tcBorders>
              <w:top w:val="single" w:sz="18" w:space="0" w:color="000000"/>
              <w:bottom w:val="single" w:sz="18" w:space="0" w:color="000000"/>
            </w:tcBorders>
            <w:tcMar>
              <w:top w:w="0" w:type="dxa"/>
              <w:left w:w="108" w:type="dxa"/>
              <w:bottom w:w="0" w:type="dxa"/>
              <w:right w:w="108" w:type="dxa"/>
            </w:tcMar>
          </w:tcPr>
          <w:p w14:paraId="2C65CD1C" w14:textId="77777777" w:rsidR="005F5F13" w:rsidRPr="006254B2" w:rsidRDefault="005F5F13" w:rsidP="006254B2">
            <w:pPr>
              <w:suppressAutoHyphens/>
              <w:autoSpaceDN w:val="0"/>
              <w:spacing w:after="0" w:line="240" w:lineRule="auto"/>
              <w:jc w:val="center"/>
              <w:textAlignment w:val="baseline"/>
              <w:rPr>
                <w:b/>
                <w:sz w:val="24"/>
                <w:szCs w:val="24"/>
              </w:rPr>
            </w:pPr>
          </w:p>
        </w:tc>
        <w:tc>
          <w:tcPr>
            <w:tcW w:w="1418" w:type="dxa"/>
            <w:tcBorders>
              <w:right w:val="single" w:sz="18" w:space="0" w:color="000000"/>
            </w:tcBorders>
            <w:tcMar>
              <w:top w:w="0" w:type="dxa"/>
              <w:left w:w="108" w:type="dxa"/>
              <w:bottom w:w="0" w:type="dxa"/>
              <w:right w:w="108" w:type="dxa"/>
            </w:tcMar>
          </w:tcPr>
          <w:p w14:paraId="587A8349" w14:textId="77777777" w:rsidR="005F5F13" w:rsidRPr="006254B2" w:rsidRDefault="005F5F13" w:rsidP="006254B2">
            <w:pPr>
              <w:suppressAutoHyphens/>
              <w:autoSpaceDN w:val="0"/>
              <w:spacing w:after="0" w:line="240" w:lineRule="auto"/>
              <w:textAlignment w:val="baseline"/>
              <w:rPr>
                <w:sz w:val="24"/>
                <w:szCs w:val="24"/>
              </w:rPr>
            </w:pPr>
          </w:p>
        </w:tc>
        <w:tc>
          <w:tcPr>
            <w:tcW w:w="4254"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6F0B78BC" w14:textId="77777777" w:rsidR="005F5F13" w:rsidRPr="006254B2" w:rsidRDefault="005F5F13" w:rsidP="006254B2">
            <w:pPr>
              <w:suppressAutoHyphens/>
              <w:autoSpaceDN w:val="0"/>
              <w:spacing w:after="0" w:line="240" w:lineRule="auto"/>
              <w:textAlignment w:val="baseline"/>
              <w:rPr>
                <w:sz w:val="24"/>
                <w:szCs w:val="24"/>
              </w:rPr>
            </w:pPr>
          </w:p>
        </w:tc>
      </w:tr>
      <w:tr w:rsidR="005F5F13" w:rsidRPr="007120C8" w14:paraId="5D183DAA" w14:textId="77777777" w:rsidTr="00637658">
        <w:tc>
          <w:tcPr>
            <w:tcW w:w="4251"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4219F825"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left w:val="single" w:sz="18" w:space="0" w:color="000000"/>
              <w:right w:val="single" w:sz="18" w:space="0" w:color="000000"/>
            </w:tcBorders>
            <w:tcMar>
              <w:top w:w="0" w:type="dxa"/>
              <w:left w:w="108" w:type="dxa"/>
              <w:bottom w:w="0" w:type="dxa"/>
              <w:right w:w="108" w:type="dxa"/>
            </w:tcMar>
          </w:tcPr>
          <w:p w14:paraId="79518166" w14:textId="5973A2FC" w:rsidR="005F5F13" w:rsidRPr="006254B2" w:rsidRDefault="005F5F13" w:rsidP="006254B2">
            <w:pPr>
              <w:suppressAutoHyphens/>
              <w:autoSpaceDN w:val="0"/>
              <w:spacing w:after="0" w:line="240" w:lineRule="auto"/>
              <w:textAlignment w:val="baseline"/>
            </w:pPr>
          </w:p>
        </w:tc>
        <w:tc>
          <w:tcPr>
            <w:tcW w:w="2834"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46DE1DB7" w14:textId="0C3AB2E3" w:rsidR="005F5F13" w:rsidRPr="006254B2" w:rsidRDefault="005F5F13" w:rsidP="006254B2">
            <w:pPr>
              <w:suppressAutoHyphens/>
              <w:autoSpaceDN w:val="0"/>
              <w:spacing w:after="0" w:line="240" w:lineRule="auto"/>
              <w:jc w:val="center"/>
              <w:textAlignment w:val="baseline"/>
              <w:rPr>
                <w:b/>
                <w:sz w:val="32"/>
                <w:szCs w:val="32"/>
              </w:rPr>
            </w:pPr>
            <w:r w:rsidRPr="006254B2">
              <w:rPr>
                <w:b/>
                <w:sz w:val="32"/>
                <w:szCs w:val="32"/>
              </w:rPr>
              <w:t>LSCC</w:t>
            </w:r>
            <w:r w:rsidR="00623B09">
              <w:rPr>
                <w:b/>
                <w:sz w:val="32"/>
                <w:szCs w:val="32"/>
              </w:rPr>
              <w:t xml:space="preserve"> / Innovation Corridor</w:t>
            </w:r>
          </w:p>
        </w:tc>
        <w:tc>
          <w:tcPr>
            <w:tcW w:w="1418" w:type="dxa"/>
            <w:tcBorders>
              <w:left w:val="single" w:sz="18" w:space="0" w:color="000000"/>
              <w:right w:val="single" w:sz="18" w:space="0" w:color="000000"/>
            </w:tcBorders>
            <w:tcMar>
              <w:top w:w="0" w:type="dxa"/>
              <w:left w:w="108" w:type="dxa"/>
              <w:bottom w:w="0" w:type="dxa"/>
              <w:right w:w="108" w:type="dxa"/>
            </w:tcMar>
          </w:tcPr>
          <w:p w14:paraId="5226D277" w14:textId="77777777" w:rsidR="005F5F13" w:rsidRPr="006254B2" w:rsidRDefault="005F5F13" w:rsidP="006254B2">
            <w:pPr>
              <w:suppressAutoHyphens/>
              <w:autoSpaceDN w:val="0"/>
              <w:spacing w:after="0" w:line="240" w:lineRule="auto"/>
              <w:textAlignment w:val="baseline"/>
              <w:rPr>
                <w:sz w:val="24"/>
                <w:szCs w:val="24"/>
              </w:rPr>
            </w:pPr>
          </w:p>
        </w:tc>
        <w:tc>
          <w:tcPr>
            <w:tcW w:w="4254"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36650908" w14:textId="77777777" w:rsidR="005F5F13" w:rsidRPr="006254B2" w:rsidRDefault="005F5F13" w:rsidP="006254B2">
            <w:pPr>
              <w:suppressAutoHyphens/>
              <w:autoSpaceDN w:val="0"/>
              <w:spacing w:after="0" w:line="240" w:lineRule="auto"/>
              <w:textAlignment w:val="baseline"/>
              <w:rPr>
                <w:sz w:val="24"/>
                <w:szCs w:val="24"/>
              </w:rPr>
            </w:pPr>
          </w:p>
        </w:tc>
      </w:tr>
      <w:tr w:rsidR="005F5F13" w:rsidRPr="007120C8" w14:paraId="60458B6C" w14:textId="77777777" w:rsidTr="00A44800">
        <w:tc>
          <w:tcPr>
            <w:tcW w:w="4251"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060280B9"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left w:val="single" w:sz="18" w:space="0" w:color="000000"/>
            </w:tcBorders>
            <w:tcMar>
              <w:top w:w="0" w:type="dxa"/>
              <w:left w:w="108" w:type="dxa"/>
              <w:bottom w:w="0" w:type="dxa"/>
              <w:right w:w="108" w:type="dxa"/>
            </w:tcMar>
          </w:tcPr>
          <w:p w14:paraId="2910E425"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top w:val="single" w:sz="18" w:space="0" w:color="000000"/>
              <w:bottom w:val="single" w:sz="12" w:space="0" w:color="auto"/>
            </w:tcBorders>
            <w:tcMar>
              <w:top w:w="0" w:type="dxa"/>
              <w:left w:w="108" w:type="dxa"/>
              <w:bottom w:w="0" w:type="dxa"/>
              <w:right w:w="108" w:type="dxa"/>
            </w:tcMar>
          </w:tcPr>
          <w:p w14:paraId="080D15FE"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top w:val="single" w:sz="18" w:space="0" w:color="000000"/>
              <w:bottom w:val="single" w:sz="12" w:space="0" w:color="auto"/>
            </w:tcBorders>
            <w:tcMar>
              <w:top w:w="0" w:type="dxa"/>
              <w:left w:w="108" w:type="dxa"/>
              <w:bottom w:w="0" w:type="dxa"/>
              <w:right w:w="108" w:type="dxa"/>
            </w:tcMar>
          </w:tcPr>
          <w:p w14:paraId="79116DBD" w14:textId="77777777" w:rsidR="005F5F13" w:rsidRPr="006254B2" w:rsidRDefault="005F5F13" w:rsidP="006254B2">
            <w:pPr>
              <w:suppressAutoHyphens/>
              <w:autoSpaceDN w:val="0"/>
              <w:spacing w:after="0" w:line="240" w:lineRule="auto"/>
              <w:textAlignment w:val="baseline"/>
              <w:rPr>
                <w:sz w:val="24"/>
                <w:szCs w:val="24"/>
              </w:rPr>
            </w:pPr>
          </w:p>
        </w:tc>
        <w:tc>
          <w:tcPr>
            <w:tcW w:w="1418" w:type="dxa"/>
            <w:tcBorders>
              <w:right w:val="single" w:sz="18" w:space="0" w:color="000000"/>
            </w:tcBorders>
            <w:tcMar>
              <w:top w:w="0" w:type="dxa"/>
              <w:left w:w="108" w:type="dxa"/>
              <w:bottom w:w="0" w:type="dxa"/>
              <w:right w:w="108" w:type="dxa"/>
            </w:tcMar>
          </w:tcPr>
          <w:p w14:paraId="2CABDBE7" w14:textId="77777777" w:rsidR="005F5F13" w:rsidRPr="006254B2" w:rsidRDefault="005F5F13" w:rsidP="006254B2">
            <w:pPr>
              <w:suppressAutoHyphens/>
              <w:autoSpaceDN w:val="0"/>
              <w:spacing w:after="0" w:line="240" w:lineRule="auto"/>
              <w:textAlignment w:val="baseline"/>
              <w:rPr>
                <w:sz w:val="24"/>
                <w:szCs w:val="24"/>
              </w:rPr>
            </w:pPr>
          </w:p>
        </w:tc>
        <w:tc>
          <w:tcPr>
            <w:tcW w:w="4254"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58200AA7" w14:textId="77777777" w:rsidR="005F5F13" w:rsidRPr="006254B2" w:rsidRDefault="005F5F13" w:rsidP="006254B2">
            <w:pPr>
              <w:suppressAutoHyphens/>
              <w:autoSpaceDN w:val="0"/>
              <w:spacing w:after="0" w:line="240" w:lineRule="auto"/>
              <w:textAlignment w:val="baseline"/>
              <w:rPr>
                <w:sz w:val="24"/>
                <w:szCs w:val="24"/>
              </w:rPr>
            </w:pPr>
          </w:p>
        </w:tc>
      </w:tr>
      <w:tr w:rsidR="00935762" w:rsidRPr="007120C8" w14:paraId="28D5B953" w14:textId="77777777" w:rsidTr="00A44800">
        <w:tc>
          <w:tcPr>
            <w:tcW w:w="4251"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67029782"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Borders>
              <w:left w:val="single" w:sz="18" w:space="0" w:color="000000"/>
              <w:right w:val="single" w:sz="12" w:space="0" w:color="auto"/>
            </w:tcBorders>
            <w:tcMar>
              <w:top w:w="0" w:type="dxa"/>
              <w:left w:w="108" w:type="dxa"/>
              <w:bottom w:w="0" w:type="dxa"/>
              <w:right w:w="108" w:type="dxa"/>
            </w:tcMar>
          </w:tcPr>
          <w:p w14:paraId="697B37EE" w14:textId="77777777" w:rsidR="00935762" w:rsidRPr="006254B2" w:rsidRDefault="00F45BF3" w:rsidP="006254B2">
            <w:pPr>
              <w:suppressAutoHyphens/>
              <w:autoSpaceDN w:val="0"/>
              <w:spacing w:after="0" w:line="240" w:lineRule="auto"/>
              <w:textAlignment w:val="baseline"/>
              <w:rPr>
                <w:sz w:val="24"/>
                <w:szCs w:val="24"/>
              </w:rPr>
            </w:pPr>
            <w:r>
              <w:rPr>
                <w:noProof/>
                <w:lang w:eastAsia="en-GB"/>
              </w:rPr>
              <mc:AlternateContent>
                <mc:Choice Requires="wps">
                  <w:drawing>
                    <wp:anchor distT="0" distB="0" distL="114300" distR="114300" simplePos="0" relativeHeight="251687936" behindDoc="0" locked="0" layoutInCell="1" allowOverlap="1" wp14:anchorId="3EF8FE98" wp14:editId="714BF60A">
                      <wp:simplePos x="0" y="0"/>
                      <wp:positionH relativeFrom="column">
                        <wp:posOffset>-57785</wp:posOffset>
                      </wp:positionH>
                      <wp:positionV relativeFrom="paragraph">
                        <wp:posOffset>155575</wp:posOffset>
                      </wp:positionV>
                      <wp:extent cx="871220" cy="3810"/>
                      <wp:effectExtent l="38100" t="133350" r="5080" b="129540"/>
                      <wp:wrapNone/>
                      <wp:docPr id="1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3810"/>
                              </a:xfrm>
                              <a:prstGeom prst="straightConnector1">
                                <a:avLst/>
                              </a:prstGeom>
                              <a:noFill/>
                              <a:ln w="38102">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DE233" id="Straight Arrow Connector 3" o:spid="_x0000_s1026" type="#_x0000_t32" style="position:absolute;margin-left:-4.55pt;margin-top:12.25pt;width:68.6pt;height:.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" strokeweight="1.0584mm">
                      <v:stroke startarrow="open" endarrow="open"/>
                    </v:shape>
                  </w:pict>
                </mc:Fallback>
              </mc:AlternateContent>
            </w:r>
          </w:p>
        </w:tc>
        <w:tc>
          <w:tcPr>
            <w:tcW w:w="2834" w:type="dxa"/>
            <w:gridSpan w:val="2"/>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71DA045" w14:textId="77777777" w:rsidR="00935762" w:rsidRPr="00A44800" w:rsidRDefault="00935762" w:rsidP="00A44800">
            <w:pPr>
              <w:suppressAutoHyphens/>
              <w:autoSpaceDN w:val="0"/>
              <w:spacing w:after="0" w:line="240" w:lineRule="auto"/>
              <w:jc w:val="center"/>
              <w:textAlignment w:val="baseline"/>
              <w:rPr>
                <w:b/>
                <w:sz w:val="32"/>
                <w:szCs w:val="32"/>
              </w:rPr>
            </w:pPr>
            <w:r w:rsidRPr="00A44800">
              <w:rPr>
                <w:b/>
                <w:sz w:val="32"/>
                <w:szCs w:val="32"/>
              </w:rPr>
              <w:t>Garden Town Member Board</w:t>
            </w:r>
          </w:p>
        </w:tc>
        <w:tc>
          <w:tcPr>
            <w:tcW w:w="1418" w:type="dxa"/>
            <w:tcBorders>
              <w:left w:val="single" w:sz="12" w:space="0" w:color="auto"/>
              <w:right w:val="single" w:sz="18" w:space="0" w:color="000000"/>
            </w:tcBorders>
            <w:tcMar>
              <w:top w:w="0" w:type="dxa"/>
              <w:left w:w="108" w:type="dxa"/>
              <w:bottom w:w="0" w:type="dxa"/>
              <w:right w:w="108" w:type="dxa"/>
            </w:tcMar>
          </w:tcPr>
          <w:p w14:paraId="069A45BF" w14:textId="77777777" w:rsidR="00935762" w:rsidRPr="006254B2" w:rsidRDefault="00935762" w:rsidP="006254B2">
            <w:pPr>
              <w:suppressAutoHyphens/>
              <w:autoSpaceDN w:val="0"/>
              <w:spacing w:after="0" w:line="240" w:lineRule="auto"/>
              <w:textAlignment w:val="baseline"/>
              <w:rPr>
                <w:sz w:val="24"/>
                <w:szCs w:val="24"/>
              </w:rPr>
            </w:pPr>
          </w:p>
        </w:tc>
        <w:tc>
          <w:tcPr>
            <w:tcW w:w="4254" w:type="dxa"/>
            <w:gridSpan w:val="3"/>
            <w:vMerge/>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67725938" w14:textId="77777777" w:rsidR="00935762" w:rsidRPr="006254B2" w:rsidRDefault="00935762" w:rsidP="006254B2">
            <w:pPr>
              <w:suppressAutoHyphens/>
              <w:autoSpaceDN w:val="0"/>
              <w:spacing w:after="0" w:line="240" w:lineRule="auto"/>
              <w:textAlignment w:val="baseline"/>
              <w:rPr>
                <w:sz w:val="24"/>
                <w:szCs w:val="24"/>
              </w:rPr>
            </w:pPr>
          </w:p>
        </w:tc>
      </w:tr>
      <w:tr w:rsidR="00935762" w:rsidRPr="007120C8" w14:paraId="4EE5258D" w14:textId="77777777" w:rsidTr="00A44800">
        <w:tc>
          <w:tcPr>
            <w:tcW w:w="1417" w:type="dxa"/>
            <w:tcBorders>
              <w:top w:val="single" w:sz="18" w:space="0" w:color="000000"/>
            </w:tcBorders>
            <w:tcMar>
              <w:top w:w="0" w:type="dxa"/>
              <w:left w:w="108" w:type="dxa"/>
              <w:bottom w:w="0" w:type="dxa"/>
              <w:right w:w="108" w:type="dxa"/>
            </w:tcMar>
          </w:tcPr>
          <w:p w14:paraId="2A3361EC" w14:textId="77777777" w:rsidR="00935762" w:rsidRPr="006254B2" w:rsidRDefault="00935762" w:rsidP="006254B2">
            <w:pPr>
              <w:suppressAutoHyphens/>
              <w:autoSpaceDN w:val="0"/>
              <w:spacing w:after="0" w:line="240" w:lineRule="auto"/>
              <w:textAlignment w:val="baseline"/>
            </w:pPr>
          </w:p>
        </w:tc>
        <w:tc>
          <w:tcPr>
            <w:tcW w:w="1417" w:type="dxa"/>
            <w:tcBorders>
              <w:top w:val="single" w:sz="18" w:space="0" w:color="000000"/>
            </w:tcBorders>
            <w:tcMar>
              <w:top w:w="0" w:type="dxa"/>
              <w:left w:w="108" w:type="dxa"/>
              <w:bottom w:w="0" w:type="dxa"/>
              <w:right w:w="108" w:type="dxa"/>
            </w:tcMar>
          </w:tcPr>
          <w:p w14:paraId="10405A20" w14:textId="44407570" w:rsidR="00935762" w:rsidRPr="006254B2" w:rsidRDefault="00935762" w:rsidP="006254B2">
            <w:pPr>
              <w:suppressAutoHyphens/>
              <w:autoSpaceDN w:val="0"/>
              <w:spacing w:after="0" w:line="240" w:lineRule="auto"/>
              <w:textAlignment w:val="baseline"/>
            </w:pPr>
          </w:p>
        </w:tc>
        <w:tc>
          <w:tcPr>
            <w:tcW w:w="1417" w:type="dxa"/>
            <w:tcBorders>
              <w:top w:val="single" w:sz="18" w:space="0" w:color="000000"/>
            </w:tcBorders>
            <w:tcMar>
              <w:top w:w="0" w:type="dxa"/>
              <w:left w:w="108" w:type="dxa"/>
              <w:bottom w:w="0" w:type="dxa"/>
              <w:right w:w="108" w:type="dxa"/>
            </w:tcMar>
          </w:tcPr>
          <w:p w14:paraId="0FCE4ABB"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Borders>
              <w:right w:val="single" w:sz="12" w:space="0" w:color="auto"/>
            </w:tcBorders>
            <w:tcMar>
              <w:top w:w="0" w:type="dxa"/>
              <w:left w:w="108" w:type="dxa"/>
              <w:bottom w:w="0" w:type="dxa"/>
              <w:right w:w="108" w:type="dxa"/>
            </w:tcMar>
          </w:tcPr>
          <w:p w14:paraId="781597E2" w14:textId="77777777" w:rsidR="00935762" w:rsidRPr="006254B2" w:rsidRDefault="00935762" w:rsidP="006254B2">
            <w:pPr>
              <w:suppressAutoHyphens/>
              <w:autoSpaceDN w:val="0"/>
              <w:spacing w:after="0" w:line="240" w:lineRule="auto"/>
              <w:textAlignment w:val="baseline"/>
              <w:rPr>
                <w:sz w:val="24"/>
                <w:szCs w:val="24"/>
              </w:rPr>
            </w:pPr>
          </w:p>
        </w:tc>
        <w:tc>
          <w:tcPr>
            <w:tcW w:w="2834" w:type="dxa"/>
            <w:gridSpan w:val="2"/>
            <w:vMerge/>
            <w:tcBorders>
              <w:left w:val="single" w:sz="12" w:space="0" w:color="auto"/>
              <w:bottom w:val="single" w:sz="12" w:space="0" w:color="auto"/>
              <w:right w:val="single" w:sz="12" w:space="0" w:color="auto"/>
            </w:tcBorders>
            <w:tcMar>
              <w:top w:w="0" w:type="dxa"/>
              <w:left w:w="108" w:type="dxa"/>
              <w:bottom w:w="0" w:type="dxa"/>
              <w:right w:w="108" w:type="dxa"/>
            </w:tcMar>
          </w:tcPr>
          <w:p w14:paraId="6F70C2E4"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Borders>
              <w:left w:val="single" w:sz="12" w:space="0" w:color="auto"/>
            </w:tcBorders>
            <w:tcMar>
              <w:top w:w="0" w:type="dxa"/>
              <w:left w:w="108" w:type="dxa"/>
              <w:bottom w:w="0" w:type="dxa"/>
              <w:right w:w="108" w:type="dxa"/>
            </w:tcMar>
          </w:tcPr>
          <w:p w14:paraId="53F1A687"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Borders>
              <w:top w:val="single" w:sz="18" w:space="0" w:color="000000"/>
            </w:tcBorders>
            <w:tcMar>
              <w:top w:w="0" w:type="dxa"/>
              <w:left w:w="108" w:type="dxa"/>
              <w:bottom w:w="0" w:type="dxa"/>
              <w:right w:w="108" w:type="dxa"/>
            </w:tcMar>
          </w:tcPr>
          <w:p w14:paraId="788E7310"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Borders>
              <w:top w:val="single" w:sz="18" w:space="0" w:color="000000"/>
            </w:tcBorders>
            <w:tcMar>
              <w:top w:w="0" w:type="dxa"/>
              <w:left w:w="108" w:type="dxa"/>
              <w:bottom w:w="0" w:type="dxa"/>
              <w:right w:w="108" w:type="dxa"/>
            </w:tcMar>
          </w:tcPr>
          <w:p w14:paraId="0BE12DD8"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Borders>
              <w:top w:val="single" w:sz="18" w:space="0" w:color="000000"/>
            </w:tcBorders>
            <w:tcMar>
              <w:top w:w="0" w:type="dxa"/>
              <w:left w:w="108" w:type="dxa"/>
              <w:bottom w:w="0" w:type="dxa"/>
              <w:right w:w="108" w:type="dxa"/>
            </w:tcMar>
          </w:tcPr>
          <w:p w14:paraId="58A862DA" w14:textId="77777777" w:rsidR="00935762" w:rsidRPr="006254B2" w:rsidRDefault="00935762" w:rsidP="006254B2">
            <w:pPr>
              <w:suppressAutoHyphens/>
              <w:autoSpaceDN w:val="0"/>
              <w:spacing w:after="0" w:line="240" w:lineRule="auto"/>
              <w:textAlignment w:val="baseline"/>
              <w:rPr>
                <w:sz w:val="24"/>
                <w:szCs w:val="24"/>
              </w:rPr>
            </w:pPr>
          </w:p>
        </w:tc>
      </w:tr>
      <w:tr w:rsidR="00935762" w:rsidRPr="007120C8" w14:paraId="5C7F625F" w14:textId="77777777" w:rsidTr="00A44800">
        <w:tc>
          <w:tcPr>
            <w:tcW w:w="1417" w:type="dxa"/>
            <w:tcMar>
              <w:top w:w="0" w:type="dxa"/>
              <w:left w:w="108" w:type="dxa"/>
              <w:bottom w:w="0" w:type="dxa"/>
              <w:right w:w="108" w:type="dxa"/>
            </w:tcMar>
          </w:tcPr>
          <w:p w14:paraId="47DE82B1" w14:textId="77777777" w:rsidR="00935762" w:rsidRPr="006254B2" w:rsidRDefault="00935762" w:rsidP="006254B2">
            <w:pPr>
              <w:suppressAutoHyphens/>
              <w:autoSpaceDN w:val="0"/>
              <w:spacing w:after="0" w:line="240" w:lineRule="auto"/>
              <w:textAlignment w:val="baseline"/>
            </w:pPr>
          </w:p>
        </w:tc>
        <w:tc>
          <w:tcPr>
            <w:tcW w:w="1417" w:type="dxa"/>
            <w:tcMar>
              <w:top w:w="0" w:type="dxa"/>
              <w:left w:w="108" w:type="dxa"/>
              <w:bottom w:w="0" w:type="dxa"/>
              <w:right w:w="108" w:type="dxa"/>
            </w:tcMar>
          </w:tcPr>
          <w:p w14:paraId="3E488C6E"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Mar>
              <w:top w:w="0" w:type="dxa"/>
              <w:left w:w="108" w:type="dxa"/>
              <w:bottom w:w="0" w:type="dxa"/>
              <w:right w:w="108" w:type="dxa"/>
            </w:tcMar>
          </w:tcPr>
          <w:p w14:paraId="0040206C"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Mar>
              <w:top w:w="0" w:type="dxa"/>
              <w:left w:w="108" w:type="dxa"/>
              <w:bottom w:w="0" w:type="dxa"/>
              <w:right w:w="108" w:type="dxa"/>
            </w:tcMar>
          </w:tcPr>
          <w:p w14:paraId="37287526" w14:textId="77777777" w:rsidR="00935762" w:rsidRPr="006254B2" w:rsidRDefault="00935762" w:rsidP="006254B2">
            <w:pPr>
              <w:suppressAutoHyphens/>
              <w:autoSpaceDN w:val="0"/>
              <w:spacing w:after="0" w:line="240" w:lineRule="auto"/>
              <w:textAlignment w:val="baseline"/>
              <w:rPr>
                <w:sz w:val="24"/>
                <w:szCs w:val="24"/>
              </w:rPr>
            </w:pPr>
          </w:p>
        </w:tc>
        <w:tc>
          <w:tcPr>
            <w:tcW w:w="2834" w:type="dxa"/>
            <w:gridSpan w:val="2"/>
            <w:vMerge w:val="restart"/>
            <w:tcBorders>
              <w:top w:val="single" w:sz="12" w:space="0" w:color="auto"/>
            </w:tcBorders>
            <w:tcMar>
              <w:top w:w="0" w:type="dxa"/>
              <w:left w:w="108" w:type="dxa"/>
              <w:bottom w:w="0" w:type="dxa"/>
              <w:right w:w="108" w:type="dxa"/>
            </w:tcMar>
          </w:tcPr>
          <w:p w14:paraId="26230933" w14:textId="77777777" w:rsidR="00935762" w:rsidRPr="006254B2" w:rsidRDefault="00F45BF3" w:rsidP="006254B2">
            <w:pPr>
              <w:suppressAutoHyphens/>
              <w:autoSpaceDN w:val="0"/>
              <w:spacing w:after="0" w:line="240" w:lineRule="auto"/>
              <w:textAlignment w:val="baseline"/>
              <w:rPr>
                <w:sz w:val="24"/>
                <w:szCs w:val="24"/>
              </w:rPr>
            </w:pPr>
            <w:r>
              <w:rPr>
                <w:noProof/>
                <w:lang w:eastAsia="en-GB"/>
              </w:rPr>
              <mc:AlternateContent>
                <mc:Choice Requires="wps">
                  <w:drawing>
                    <wp:anchor distT="0" distB="0" distL="114300" distR="114300" simplePos="0" relativeHeight="251685888" behindDoc="0" locked="0" layoutInCell="1" allowOverlap="1" wp14:anchorId="1B1F1E63" wp14:editId="13DD748A">
                      <wp:simplePos x="0" y="0"/>
                      <wp:positionH relativeFrom="column">
                        <wp:posOffset>788670</wp:posOffset>
                      </wp:positionH>
                      <wp:positionV relativeFrom="paragraph">
                        <wp:posOffset>3810</wp:posOffset>
                      </wp:positionV>
                      <wp:extent cx="9525" cy="575310"/>
                      <wp:effectExtent l="119380" t="31115" r="118745" b="31750"/>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575310"/>
                              </a:xfrm>
                              <a:prstGeom prst="straightConnector1">
                                <a:avLst/>
                              </a:prstGeom>
                              <a:noFill/>
                              <a:ln w="38102">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A1AC0" id="Straight Arrow Connector 4" o:spid="_x0000_s1026" type="#_x0000_t32" style="position:absolute;margin-left:62.1pt;margin-top:.3pt;width:.75pt;height:45.3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" strokeweight="1.0584mm">
                      <v:stroke startarrow="open" endarrow="open"/>
                    </v:shape>
                  </w:pict>
                </mc:Fallback>
              </mc:AlternateContent>
            </w:r>
          </w:p>
        </w:tc>
        <w:tc>
          <w:tcPr>
            <w:tcW w:w="1418" w:type="dxa"/>
            <w:tcBorders>
              <w:left w:val="nil"/>
            </w:tcBorders>
            <w:tcMar>
              <w:top w:w="0" w:type="dxa"/>
              <w:left w:w="108" w:type="dxa"/>
              <w:bottom w:w="0" w:type="dxa"/>
              <w:right w:w="108" w:type="dxa"/>
            </w:tcMar>
          </w:tcPr>
          <w:p w14:paraId="2924BBF3"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014B2BA1"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3BD56481"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047D785E" w14:textId="77777777" w:rsidR="00935762" w:rsidRPr="006254B2" w:rsidRDefault="00935762" w:rsidP="006254B2">
            <w:pPr>
              <w:suppressAutoHyphens/>
              <w:autoSpaceDN w:val="0"/>
              <w:spacing w:after="0" w:line="240" w:lineRule="auto"/>
              <w:textAlignment w:val="baseline"/>
              <w:rPr>
                <w:sz w:val="24"/>
                <w:szCs w:val="24"/>
              </w:rPr>
            </w:pPr>
          </w:p>
        </w:tc>
      </w:tr>
      <w:tr w:rsidR="00935762" w:rsidRPr="007120C8" w14:paraId="158EAF87" w14:textId="77777777" w:rsidTr="00A44800">
        <w:tc>
          <w:tcPr>
            <w:tcW w:w="1417" w:type="dxa"/>
            <w:tcBorders>
              <w:bottom w:val="single" w:sz="18" w:space="0" w:color="000000"/>
            </w:tcBorders>
            <w:tcMar>
              <w:top w:w="0" w:type="dxa"/>
              <w:left w:w="108" w:type="dxa"/>
              <w:bottom w:w="0" w:type="dxa"/>
              <w:right w:w="108" w:type="dxa"/>
            </w:tcMar>
          </w:tcPr>
          <w:p w14:paraId="1DEDC782" w14:textId="77777777" w:rsidR="00935762" w:rsidRPr="006254B2" w:rsidRDefault="00935762" w:rsidP="006254B2">
            <w:pPr>
              <w:suppressAutoHyphens/>
              <w:autoSpaceDN w:val="0"/>
              <w:spacing w:after="0" w:line="240" w:lineRule="auto"/>
              <w:textAlignment w:val="baseline"/>
            </w:pPr>
          </w:p>
        </w:tc>
        <w:tc>
          <w:tcPr>
            <w:tcW w:w="1417" w:type="dxa"/>
            <w:tcBorders>
              <w:bottom w:val="single" w:sz="18" w:space="0" w:color="000000"/>
            </w:tcBorders>
            <w:tcMar>
              <w:top w:w="0" w:type="dxa"/>
              <w:left w:w="108" w:type="dxa"/>
              <w:bottom w:w="0" w:type="dxa"/>
              <w:right w:w="108" w:type="dxa"/>
            </w:tcMar>
          </w:tcPr>
          <w:p w14:paraId="460B7668" w14:textId="77777777" w:rsidR="00935762" w:rsidRPr="006254B2" w:rsidRDefault="00935762" w:rsidP="006254B2">
            <w:pPr>
              <w:suppressAutoHyphens/>
              <w:autoSpaceDN w:val="0"/>
              <w:spacing w:after="0" w:line="240" w:lineRule="auto"/>
              <w:textAlignment w:val="baseline"/>
              <w:rPr>
                <w:sz w:val="24"/>
                <w:szCs w:val="24"/>
              </w:rPr>
            </w:pPr>
            <w:r>
              <w:rPr>
                <w:noProof/>
                <w:lang w:eastAsia="en-GB"/>
              </w:rPr>
              <mc:AlternateContent>
                <mc:Choice Requires="wps">
                  <w:drawing>
                    <wp:anchor distT="0" distB="0" distL="114300" distR="114300" simplePos="0" relativeHeight="251670528" behindDoc="0" locked="0" layoutInCell="1" allowOverlap="1" wp14:anchorId="31CC8AEE" wp14:editId="0EFA9A2A">
                      <wp:simplePos x="0" y="0"/>
                      <wp:positionH relativeFrom="column">
                        <wp:posOffset>337185</wp:posOffset>
                      </wp:positionH>
                      <wp:positionV relativeFrom="paragraph">
                        <wp:posOffset>-403860</wp:posOffset>
                      </wp:positionV>
                      <wp:extent cx="9525" cy="575310"/>
                      <wp:effectExtent l="119380" t="31115" r="118745" b="31750"/>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575310"/>
                              </a:xfrm>
                              <a:prstGeom prst="straightConnector1">
                                <a:avLst/>
                              </a:prstGeom>
                              <a:noFill/>
                              <a:ln w="38102">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DFCF6" id="Straight Arrow Connector 4" o:spid="_x0000_s1026" type="#_x0000_t32" style="position:absolute;margin-left:26.55pt;margin-top:-31.8pt;width:.75pt;height:45.3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" strokeweight="1.0584mm">
                      <v:stroke startarrow="open" endarrow="open"/>
                    </v:shape>
                  </w:pict>
                </mc:Fallback>
              </mc:AlternateContent>
            </w:r>
          </w:p>
        </w:tc>
        <w:tc>
          <w:tcPr>
            <w:tcW w:w="1417" w:type="dxa"/>
            <w:tcBorders>
              <w:bottom w:val="single" w:sz="18" w:space="0" w:color="000000"/>
            </w:tcBorders>
            <w:tcMar>
              <w:top w:w="0" w:type="dxa"/>
              <w:left w:w="108" w:type="dxa"/>
              <w:bottom w:w="0" w:type="dxa"/>
              <w:right w:w="108" w:type="dxa"/>
            </w:tcMar>
          </w:tcPr>
          <w:p w14:paraId="40CA45C1"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Mar>
              <w:top w:w="0" w:type="dxa"/>
              <w:left w:w="108" w:type="dxa"/>
              <w:bottom w:w="0" w:type="dxa"/>
              <w:right w:w="108" w:type="dxa"/>
            </w:tcMar>
          </w:tcPr>
          <w:p w14:paraId="2AE2CC04" w14:textId="77777777" w:rsidR="00935762" w:rsidRPr="006254B2" w:rsidRDefault="00935762" w:rsidP="006254B2">
            <w:pPr>
              <w:suppressAutoHyphens/>
              <w:autoSpaceDN w:val="0"/>
              <w:spacing w:after="0" w:line="240" w:lineRule="auto"/>
              <w:textAlignment w:val="baseline"/>
              <w:rPr>
                <w:sz w:val="24"/>
                <w:szCs w:val="24"/>
              </w:rPr>
            </w:pPr>
          </w:p>
        </w:tc>
        <w:tc>
          <w:tcPr>
            <w:tcW w:w="2834" w:type="dxa"/>
            <w:gridSpan w:val="2"/>
            <w:vMerge/>
            <w:tcMar>
              <w:top w:w="0" w:type="dxa"/>
              <w:left w:w="108" w:type="dxa"/>
              <w:bottom w:w="0" w:type="dxa"/>
              <w:right w:w="108" w:type="dxa"/>
            </w:tcMar>
          </w:tcPr>
          <w:p w14:paraId="59B97331"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Borders>
              <w:left w:val="nil"/>
            </w:tcBorders>
            <w:tcMar>
              <w:top w:w="0" w:type="dxa"/>
              <w:left w:w="108" w:type="dxa"/>
              <w:bottom w:w="0" w:type="dxa"/>
              <w:right w:w="108" w:type="dxa"/>
            </w:tcMar>
          </w:tcPr>
          <w:p w14:paraId="3A85126A"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1E2050C4"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58C72407"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6ABDFC8D" w14:textId="77777777" w:rsidR="00935762" w:rsidRPr="006254B2" w:rsidRDefault="00935762" w:rsidP="006254B2">
            <w:pPr>
              <w:suppressAutoHyphens/>
              <w:autoSpaceDN w:val="0"/>
              <w:spacing w:after="0" w:line="240" w:lineRule="auto"/>
              <w:textAlignment w:val="baseline"/>
              <w:rPr>
                <w:sz w:val="24"/>
                <w:szCs w:val="24"/>
              </w:rPr>
            </w:pPr>
          </w:p>
        </w:tc>
      </w:tr>
      <w:tr w:rsidR="005F5F13" w:rsidRPr="007120C8" w14:paraId="05F495CE" w14:textId="77777777" w:rsidTr="00A44800">
        <w:tc>
          <w:tcPr>
            <w:tcW w:w="4251" w:type="dxa"/>
            <w:gridSpan w:val="3"/>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1DF07CA7" w14:textId="77777777" w:rsidR="005F5F13" w:rsidRPr="006254B2" w:rsidRDefault="005F5F13" w:rsidP="006254B2">
            <w:pPr>
              <w:suppressAutoHyphens/>
              <w:autoSpaceDN w:val="0"/>
              <w:spacing w:after="0" w:line="240" w:lineRule="auto"/>
              <w:jc w:val="center"/>
              <w:textAlignment w:val="baseline"/>
              <w:rPr>
                <w:b/>
                <w:sz w:val="32"/>
                <w:szCs w:val="32"/>
              </w:rPr>
            </w:pPr>
            <w:r w:rsidRPr="006254B2">
              <w:rPr>
                <w:b/>
                <w:sz w:val="32"/>
                <w:szCs w:val="32"/>
              </w:rPr>
              <w:t>Cooperation  for</w:t>
            </w:r>
          </w:p>
          <w:p w14:paraId="2DEAC565" w14:textId="77777777" w:rsidR="005F5F13" w:rsidRPr="006254B2" w:rsidRDefault="005F5F13" w:rsidP="006254B2">
            <w:pPr>
              <w:suppressAutoHyphens/>
              <w:autoSpaceDN w:val="0"/>
              <w:spacing w:after="0" w:line="240" w:lineRule="auto"/>
              <w:jc w:val="center"/>
              <w:textAlignment w:val="baseline"/>
              <w:rPr>
                <w:b/>
                <w:sz w:val="32"/>
                <w:szCs w:val="32"/>
              </w:rPr>
            </w:pPr>
            <w:r w:rsidRPr="006254B2">
              <w:rPr>
                <w:b/>
                <w:sz w:val="32"/>
                <w:szCs w:val="32"/>
              </w:rPr>
              <w:t>Sustainable Development  Group</w:t>
            </w:r>
          </w:p>
          <w:p w14:paraId="22A38C69" w14:textId="77777777" w:rsidR="005F5F13" w:rsidRPr="006254B2" w:rsidRDefault="005F5F13" w:rsidP="006254B2">
            <w:pPr>
              <w:suppressAutoHyphens/>
              <w:autoSpaceDN w:val="0"/>
              <w:spacing w:after="0" w:line="240" w:lineRule="auto"/>
              <w:jc w:val="center"/>
              <w:textAlignment w:val="baseline"/>
            </w:pPr>
            <w:r w:rsidRPr="006254B2">
              <w:rPr>
                <w:b/>
                <w:sz w:val="32"/>
                <w:szCs w:val="32"/>
              </w:rPr>
              <w:lastRenderedPageBreak/>
              <w:t>( Officers )</w:t>
            </w:r>
          </w:p>
        </w:tc>
        <w:tc>
          <w:tcPr>
            <w:tcW w:w="1417" w:type="dxa"/>
            <w:tcBorders>
              <w:left w:val="single" w:sz="18" w:space="0" w:color="000000"/>
            </w:tcBorders>
            <w:tcMar>
              <w:top w:w="0" w:type="dxa"/>
              <w:left w:w="108" w:type="dxa"/>
              <w:bottom w:w="0" w:type="dxa"/>
              <w:right w:w="108" w:type="dxa"/>
            </w:tcMar>
          </w:tcPr>
          <w:p w14:paraId="774E4E04"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bottom w:val="single" w:sz="12" w:space="0" w:color="auto"/>
            </w:tcBorders>
            <w:tcMar>
              <w:top w:w="0" w:type="dxa"/>
              <w:left w:w="108" w:type="dxa"/>
              <w:bottom w:w="0" w:type="dxa"/>
              <w:right w:w="108" w:type="dxa"/>
            </w:tcMar>
          </w:tcPr>
          <w:p w14:paraId="1213E04C" w14:textId="77777777" w:rsidR="005F5F13" w:rsidRPr="006254B2" w:rsidRDefault="005F5F13" w:rsidP="006254B2">
            <w:pPr>
              <w:suppressAutoHyphens/>
              <w:autoSpaceDN w:val="0"/>
              <w:spacing w:after="0" w:line="240" w:lineRule="auto"/>
              <w:textAlignment w:val="baseline"/>
              <w:rPr>
                <w:sz w:val="24"/>
                <w:szCs w:val="24"/>
              </w:rPr>
            </w:pPr>
          </w:p>
        </w:tc>
        <w:tc>
          <w:tcPr>
            <w:tcW w:w="1417" w:type="dxa"/>
            <w:tcBorders>
              <w:bottom w:val="single" w:sz="12" w:space="0" w:color="auto"/>
            </w:tcBorders>
            <w:tcMar>
              <w:top w:w="0" w:type="dxa"/>
              <w:left w:w="108" w:type="dxa"/>
              <w:bottom w:w="0" w:type="dxa"/>
              <w:right w:w="108" w:type="dxa"/>
            </w:tcMar>
          </w:tcPr>
          <w:p w14:paraId="1F908C5E" w14:textId="77777777" w:rsidR="005F5F13" w:rsidRPr="006254B2" w:rsidRDefault="005F5F13"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0765B3F0" w14:textId="77777777" w:rsidR="005F5F13" w:rsidRPr="006254B2" w:rsidRDefault="005F5F13"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63B4C418" w14:textId="77777777" w:rsidR="005F5F13" w:rsidRPr="006254B2" w:rsidRDefault="005F5F13"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28D3B89E" w14:textId="77777777" w:rsidR="005F5F13" w:rsidRPr="006254B2" w:rsidRDefault="005F5F13"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5D5E4E74" w14:textId="77777777" w:rsidR="005F5F13" w:rsidRPr="006254B2" w:rsidRDefault="005F5F13" w:rsidP="006254B2">
            <w:pPr>
              <w:suppressAutoHyphens/>
              <w:autoSpaceDN w:val="0"/>
              <w:spacing w:after="0" w:line="240" w:lineRule="auto"/>
              <w:textAlignment w:val="baseline"/>
              <w:rPr>
                <w:sz w:val="24"/>
                <w:szCs w:val="24"/>
              </w:rPr>
            </w:pPr>
          </w:p>
        </w:tc>
      </w:tr>
      <w:tr w:rsidR="00935762" w:rsidRPr="007120C8" w14:paraId="76118CDB" w14:textId="77777777" w:rsidTr="00A44800">
        <w:tc>
          <w:tcPr>
            <w:tcW w:w="4251" w:type="dxa"/>
            <w:gridSpan w:val="3"/>
            <w:vMerge/>
            <w:tcBorders>
              <w:top w:val="single" w:sz="18" w:space="0" w:color="000000"/>
              <w:left w:val="single" w:sz="18" w:space="0" w:color="000000"/>
              <w:bottom w:val="single" w:sz="12" w:space="0" w:color="auto"/>
              <w:right w:val="single" w:sz="18" w:space="0" w:color="000000"/>
            </w:tcBorders>
            <w:tcMar>
              <w:top w:w="0" w:type="dxa"/>
              <w:left w:w="108" w:type="dxa"/>
              <w:bottom w:w="0" w:type="dxa"/>
              <w:right w:w="108" w:type="dxa"/>
            </w:tcMar>
          </w:tcPr>
          <w:p w14:paraId="1323B543"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Borders>
              <w:left w:val="single" w:sz="18" w:space="0" w:color="000000"/>
              <w:right w:val="single" w:sz="12" w:space="0" w:color="auto"/>
            </w:tcBorders>
            <w:tcMar>
              <w:top w:w="0" w:type="dxa"/>
              <w:left w:w="108" w:type="dxa"/>
              <w:bottom w:w="0" w:type="dxa"/>
              <w:right w:w="108" w:type="dxa"/>
            </w:tcMar>
          </w:tcPr>
          <w:p w14:paraId="5BED925F" w14:textId="77777777" w:rsidR="00935762" w:rsidRPr="006254B2" w:rsidRDefault="00935762" w:rsidP="006254B2">
            <w:pPr>
              <w:suppressAutoHyphens/>
              <w:autoSpaceDN w:val="0"/>
              <w:spacing w:after="0" w:line="240" w:lineRule="auto"/>
              <w:textAlignment w:val="baseline"/>
              <w:rPr>
                <w:sz w:val="24"/>
                <w:szCs w:val="24"/>
              </w:rPr>
            </w:pPr>
          </w:p>
        </w:tc>
        <w:tc>
          <w:tcPr>
            <w:tcW w:w="283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41527D8" w14:textId="77777777" w:rsidR="00935762" w:rsidRPr="00A44800" w:rsidRDefault="00935762" w:rsidP="00A44800">
            <w:pPr>
              <w:suppressAutoHyphens/>
              <w:autoSpaceDN w:val="0"/>
              <w:spacing w:after="0" w:line="240" w:lineRule="auto"/>
              <w:jc w:val="center"/>
              <w:textAlignment w:val="baseline"/>
              <w:rPr>
                <w:b/>
                <w:sz w:val="24"/>
                <w:szCs w:val="24"/>
              </w:rPr>
            </w:pPr>
            <w:r w:rsidRPr="00A44800">
              <w:rPr>
                <w:b/>
                <w:sz w:val="32"/>
                <w:szCs w:val="24"/>
              </w:rPr>
              <w:t>Garden Town Officer Group</w:t>
            </w:r>
          </w:p>
        </w:tc>
        <w:tc>
          <w:tcPr>
            <w:tcW w:w="1418" w:type="dxa"/>
            <w:tcBorders>
              <w:left w:val="single" w:sz="12" w:space="0" w:color="auto"/>
            </w:tcBorders>
            <w:tcMar>
              <w:top w:w="0" w:type="dxa"/>
              <w:left w:w="108" w:type="dxa"/>
              <w:bottom w:w="0" w:type="dxa"/>
              <w:right w:w="108" w:type="dxa"/>
            </w:tcMar>
          </w:tcPr>
          <w:p w14:paraId="7AA6616E"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5BF4C29A"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57DA81B5"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74AEEEF1" w14:textId="77777777" w:rsidR="00935762" w:rsidRPr="006254B2" w:rsidRDefault="00935762" w:rsidP="006254B2">
            <w:pPr>
              <w:suppressAutoHyphens/>
              <w:autoSpaceDN w:val="0"/>
              <w:spacing w:after="0" w:line="240" w:lineRule="auto"/>
              <w:textAlignment w:val="baseline"/>
              <w:rPr>
                <w:sz w:val="24"/>
                <w:szCs w:val="24"/>
              </w:rPr>
            </w:pPr>
          </w:p>
        </w:tc>
      </w:tr>
      <w:tr w:rsidR="00935762" w:rsidRPr="007120C8" w14:paraId="6E89006A" w14:textId="77777777" w:rsidTr="00A44800">
        <w:tc>
          <w:tcPr>
            <w:tcW w:w="4251" w:type="dxa"/>
            <w:gridSpan w:val="3"/>
            <w:tcBorders>
              <w:top w:val="single" w:sz="12" w:space="0" w:color="auto"/>
            </w:tcBorders>
            <w:tcMar>
              <w:top w:w="0" w:type="dxa"/>
              <w:left w:w="108" w:type="dxa"/>
              <w:bottom w:w="0" w:type="dxa"/>
              <w:right w:w="108" w:type="dxa"/>
            </w:tcMar>
          </w:tcPr>
          <w:p w14:paraId="1A55B0C3"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Mar>
              <w:top w:w="0" w:type="dxa"/>
              <w:left w:w="108" w:type="dxa"/>
              <w:bottom w:w="0" w:type="dxa"/>
              <w:right w:w="108" w:type="dxa"/>
            </w:tcMar>
          </w:tcPr>
          <w:p w14:paraId="646ADE69"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Borders>
              <w:top w:val="single" w:sz="12" w:space="0" w:color="auto"/>
            </w:tcBorders>
            <w:tcMar>
              <w:top w:w="0" w:type="dxa"/>
              <w:left w:w="108" w:type="dxa"/>
              <w:bottom w:w="0" w:type="dxa"/>
              <w:right w:w="108" w:type="dxa"/>
            </w:tcMar>
          </w:tcPr>
          <w:p w14:paraId="72E35D79" w14:textId="77777777" w:rsidR="00935762" w:rsidRPr="006254B2" w:rsidRDefault="00935762" w:rsidP="006254B2">
            <w:pPr>
              <w:suppressAutoHyphens/>
              <w:autoSpaceDN w:val="0"/>
              <w:spacing w:after="0" w:line="240" w:lineRule="auto"/>
              <w:textAlignment w:val="baseline"/>
              <w:rPr>
                <w:sz w:val="24"/>
                <w:szCs w:val="24"/>
              </w:rPr>
            </w:pPr>
          </w:p>
        </w:tc>
        <w:tc>
          <w:tcPr>
            <w:tcW w:w="1417" w:type="dxa"/>
            <w:tcBorders>
              <w:top w:val="single" w:sz="12" w:space="0" w:color="auto"/>
            </w:tcBorders>
            <w:tcMar>
              <w:top w:w="0" w:type="dxa"/>
              <w:left w:w="108" w:type="dxa"/>
              <w:bottom w:w="0" w:type="dxa"/>
              <w:right w:w="108" w:type="dxa"/>
            </w:tcMar>
          </w:tcPr>
          <w:p w14:paraId="1785EA6A"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077E96F0"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1E713208"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77992343" w14:textId="77777777" w:rsidR="00935762" w:rsidRPr="006254B2" w:rsidRDefault="00935762" w:rsidP="006254B2">
            <w:pPr>
              <w:suppressAutoHyphens/>
              <w:autoSpaceDN w:val="0"/>
              <w:spacing w:after="0" w:line="240" w:lineRule="auto"/>
              <w:textAlignment w:val="baseline"/>
              <w:rPr>
                <w:sz w:val="24"/>
                <w:szCs w:val="24"/>
              </w:rPr>
            </w:pPr>
          </w:p>
        </w:tc>
        <w:tc>
          <w:tcPr>
            <w:tcW w:w="1418" w:type="dxa"/>
            <w:tcMar>
              <w:top w:w="0" w:type="dxa"/>
              <w:left w:w="108" w:type="dxa"/>
              <w:bottom w:w="0" w:type="dxa"/>
              <w:right w:w="108" w:type="dxa"/>
            </w:tcMar>
          </w:tcPr>
          <w:p w14:paraId="48EAB0AF" w14:textId="77777777" w:rsidR="00935762" w:rsidRPr="006254B2" w:rsidRDefault="00935762" w:rsidP="006254B2">
            <w:pPr>
              <w:suppressAutoHyphens/>
              <w:autoSpaceDN w:val="0"/>
              <w:spacing w:after="0" w:line="240" w:lineRule="auto"/>
              <w:textAlignment w:val="baseline"/>
              <w:rPr>
                <w:sz w:val="24"/>
                <w:szCs w:val="24"/>
              </w:rPr>
            </w:pPr>
          </w:p>
        </w:tc>
      </w:tr>
    </w:tbl>
    <w:p w14:paraId="18E1D05B" w14:textId="77777777" w:rsidR="005F5F13" w:rsidRPr="006254B2" w:rsidRDefault="005F5F13" w:rsidP="00861A32">
      <w:pPr>
        <w:suppressAutoHyphens/>
        <w:autoSpaceDN w:val="0"/>
        <w:textAlignment w:val="baseline"/>
      </w:pPr>
    </w:p>
    <w:sectPr w:rsidR="005F5F13" w:rsidRPr="006254B2" w:rsidSect="004074B9">
      <w:pgSz w:w="16838" w:h="11906" w:orient="landscape"/>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DEDCA" w14:textId="77777777" w:rsidR="00FB763F" w:rsidRDefault="00FB763F" w:rsidP="005B454E">
      <w:pPr>
        <w:spacing w:after="0" w:line="240" w:lineRule="auto"/>
      </w:pPr>
      <w:r>
        <w:separator/>
      </w:r>
    </w:p>
  </w:endnote>
  <w:endnote w:type="continuationSeparator" w:id="0">
    <w:p w14:paraId="47E8A8F1" w14:textId="77777777" w:rsidR="00FB763F" w:rsidRDefault="00FB763F" w:rsidP="005B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algun Goth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1C4A5" w14:textId="77777777" w:rsidR="00FB763F" w:rsidRDefault="00FB763F" w:rsidP="005B454E">
      <w:pPr>
        <w:spacing w:after="0" w:line="240" w:lineRule="auto"/>
      </w:pPr>
      <w:r>
        <w:separator/>
      </w:r>
    </w:p>
  </w:footnote>
  <w:footnote w:type="continuationSeparator" w:id="0">
    <w:p w14:paraId="6BF25FD1" w14:textId="77777777" w:rsidR="00FB763F" w:rsidRDefault="00FB763F" w:rsidP="005B454E">
      <w:pPr>
        <w:spacing w:after="0" w:line="240" w:lineRule="auto"/>
      </w:pPr>
      <w:r>
        <w:continuationSeparator/>
      </w:r>
    </w:p>
  </w:footnote>
  <w:footnote w:id="1">
    <w:p w14:paraId="78EFD7EA" w14:textId="028B9BCE" w:rsidR="005F5F13" w:rsidRDefault="005F5F13">
      <w:pPr>
        <w:pStyle w:val="FootnoteText"/>
      </w:pPr>
      <w:r w:rsidRPr="00F9025A">
        <w:rPr>
          <w:rStyle w:val="FootnoteReference"/>
          <w:sz w:val="18"/>
          <w:szCs w:val="18"/>
        </w:rPr>
        <w:footnoteRef/>
      </w:r>
      <w:r w:rsidRPr="00F9025A">
        <w:rPr>
          <w:sz w:val="18"/>
          <w:szCs w:val="18"/>
        </w:rPr>
        <w:t xml:space="preserve"> The initial terms of reference</w:t>
      </w:r>
      <w:r w:rsidR="00313600">
        <w:rPr>
          <w:sz w:val="18"/>
          <w:szCs w:val="18"/>
        </w:rPr>
        <w:t xml:space="preserve"> were agreed in October 2014</w:t>
      </w:r>
      <w:r w:rsidRPr="00F9025A">
        <w:rPr>
          <w:sz w:val="18"/>
          <w:szCs w:val="18"/>
        </w:rPr>
        <w:t xml:space="preserve">.   </w:t>
      </w:r>
    </w:p>
  </w:footnote>
  <w:footnote w:id="2">
    <w:p w14:paraId="243B2BC3" w14:textId="77777777" w:rsidR="005F5F13" w:rsidRDefault="005F5F13" w:rsidP="005B454E">
      <w:pPr>
        <w:pStyle w:val="FootnoteText"/>
      </w:pPr>
      <w:r w:rsidRPr="00F9025A">
        <w:rPr>
          <w:rStyle w:val="FootnoteReference"/>
          <w:sz w:val="18"/>
          <w:szCs w:val="18"/>
        </w:rPr>
        <w:footnoteRef/>
      </w:r>
      <w:r w:rsidRPr="00F9025A">
        <w:rPr>
          <w:sz w:val="18"/>
          <w:szCs w:val="18"/>
        </w:rPr>
        <w:t xml:space="preserve"> The core constituent administrative areas are identified as Epping Forest, Harlow and Uttlesford districts</w:t>
      </w:r>
      <w:r>
        <w:rPr>
          <w:sz w:val="18"/>
          <w:szCs w:val="18"/>
        </w:rPr>
        <w:t xml:space="preserve">, Brentwood Borough, Chelmsford City and </w:t>
      </w:r>
      <w:r w:rsidRPr="00F9025A">
        <w:rPr>
          <w:sz w:val="18"/>
          <w:szCs w:val="18"/>
        </w:rPr>
        <w:t xml:space="preserve">Essex County Council, East Herts and Broxbourne districts and Hertfordshire County Council, and the London Boroughs of Waltham Forest, Redbridge and Enfield. </w:t>
      </w:r>
      <w:r>
        <w:rPr>
          <w:sz w:val="18"/>
          <w:szCs w:val="18"/>
        </w:rPr>
        <w:t xml:space="preserve"> </w:t>
      </w:r>
    </w:p>
  </w:footnote>
  <w:footnote w:id="3">
    <w:p w14:paraId="0D0AA625" w14:textId="26FDAAA5" w:rsidR="005F5F13" w:rsidRPr="00F9025A" w:rsidRDefault="005F5F13" w:rsidP="005B454E">
      <w:pPr>
        <w:pStyle w:val="FootnoteText"/>
        <w:rPr>
          <w:sz w:val="18"/>
          <w:szCs w:val="18"/>
        </w:rPr>
      </w:pPr>
      <w:r w:rsidRPr="00F9025A">
        <w:rPr>
          <w:rStyle w:val="FootnoteReference"/>
          <w:sz w:val="18"/>
          <w:szCs w:val="18"/>
        </w:rPr>
        <w:footnoteRef/>
      </w:r>
      <w:r w:rsidRPr="00F9025A">
        <w:rPr>
          <w:sz w:val="18"/>
          <w:szCs w:val="18"/>
        </w:rPr>
        <w:t xml:space="preserve"> </w:t>
      </w:r>
      <w:r w:rsidR="003E6D66">
        <w:rPr>
          <w:sz w:val="18"/>
          <w:szCs w:val="18"/>
        </w:rPr>
        <w:t xml:space="preserve">The requirement for collaborating on </w:t>
      </w:r>
      <w:r w:rsidRPr="00F9025A">
        <w:rPr>
          <w:sz w:val="18"/>
          <w:szCs w:val="18"/>
        </w:rPr>
        <w:t xml:space="preserve">‘Strategic priorities’ </w:t>
      </w:r>
      <w:r w:rsidR="003E6D66">
        <w:rPr>
          <w:sz w:val="18"/>
          <w:szCs w:val="18"/>
        </w:rPr>
        <w:t>is set out in paragraphs 24 and 25</w:t>
      </w:r>
      <w:r w:rsidR="00A44800">
        <w:rPr>
          <w:sz w:val="18"/>
          <w:szCs w:val="18"/>
        </w:rPr>
        <w:t xml:space="preserve"> </w:t>
      </w:r>
      <w:r w:rsidRPr="00F9025A">
        <w:rPr>
          <w:sz w:val="18"/>
          <w:szCs w:val="18"/>
        </w:rPr>
        <w:t xml:space="preserve">of the </w:t>
      </w:r>
      <w:r w:rsidR="00313600">
        <w:rPr>
          <w:sz w:val="18"/>
          <w:szCs w:val="18"/>
        </w:rPr>
        <w:t xml:space="preserve">revised </w:t>
      </w:r>
      <w:r w:rsidRPr="00F9025A">
        <w:rPr>
          <w:sz w:val="18"/>
          <w:szCs w:val="18"/>
        </w:rPr>
        <w:t>National Planning Policy Framework</w:t>
      </w:r>
      <w:r w:rsidR="00313600">
        <w:rPr>
          <w:sz w:val="18"/>
          <w:szCs w:val="18"/>
        </w:rPr>
        <w:t xml:space="preserve"> 2018</w:t>
      </w:r>
      <w:r w:rsidRPr="00F9025A">
        <w:rPr>
          <w:sz w:val="18"/>
          <w:szCs w:val="18"/>
        </w:rPr>
        <w:t xml:space="preserve"> (NPPF).</w:t>
      </w:r>
    </w:p>
    <w:p w14:paraId="6C9485CC" w14:textId="1E406209" w:rsidR="005F5F13" w:rsidRDefault="005F5F13" w:rsidP="005B454E">
      <w:pPr>
        <w:pStyle w:val="FootnoteText"/>
      </w:pPr>
      <w:r w:rsidRPr="00F16347">
        <w:rPr>
          <w:sz w:val="18"/>
          <w:szCs w:val="18"/>
          <w:vertAlign w:val="superscript"/>
        </w:rPr>
        <w:t>4</w:t>
      </w:r>
      <w:r w:rsidRPr="00F9025A">
        <w:rPr>
          <w:sz w:val="18"/>
          <w:szCs w:val="18"/>
        </w:rPr>
        <w:t xml:space="preserve"> </w:t>
      </w:r>
      <w:r>
        <w:rPr>
          <w:sz w:val="18"/>
          <w:szCs w:val="18"/>
        </w:rPr>
        <w:t>I</w:t>
      </w:r>
      <w:r w:rsidRPr="00F9025A">
        <w:rPr>
          <w:sz w:val="18"/>
          <w:szCs w:val="18"/>
        </w:rPr>
        <w:t xml:space="preserve">nitial identification of cross boundary issues </w:t>
      </w:r>
      <w:r w:rsidR="00313600">
        <w:rPr>
          <w:sz w:val="18"/>
          <w:szCs w:val="18"/>
        </w:rPr>
        <w:t>arose</w:t>
      </w:r>
      <w:r w:rsidRPr="00F9025A">
        <w:rPr>
          <w:sz w:val="18"/>
          <w:szCs w:val="18"/>
        </w:rPr>
        <w:t xml:space="preserve"> from the NPPF, PPG and from issues identified at member workshops in 2014, but are expected to change as new issues arise. </w:t>
      </w:r>
    </w:p>
  </w:footnote>
  <w:footnote w:id="4">
    <w:p w14:paraId="18DDD155" w14:textId="77777777" w:rsidR="005F5F13" w:rsidRDefault="005F5F13">
      <w:pPr>
        <w:pStyle w:val="FootnoteText"/>
      </w:pPr>
    </w:p>
  </w:footnote>
  <w:footnote w:id="5">
    <w:p w14:paraId="10B464DA" w14:textId="77777777" w:rsidR="003E6D66" w:rsidRPr="005D35FB" w:rsidRDefault="003E6D66" w:rsidP="005D35FB">
      <w:pPr>
        <w:pStyle w:val="FootnoteText"/>
        <w:spacing w:after="240"/>
        <w:rPr>
          <w:rFonts w:ascii="Arial" w:hAnsi="Arial" w:cs="Arial"/>
          <w:sz w:val="20"/>
          <w:szCs w:val="20"/>
        </w:rPr>
      </w:pPr>
      <w:r>
        <w:rPr>
          <w:rStyle w:val="FootnoteReference"/>
        </w:rPr>
        <w:footnoteRef/>
      </w:r>
      <w:r>
        <w:t xml:space="preserve"> </w:t>
      </w:r>
      <w:r w:rsidRPr="005D35FB">
        <w:rPr>
          <w:rFonts w:ascii="Arial" w:hAnsi="Arial" w:cs="Arial"/>
          <w:sz w:val="20"/>
          <w:szCs w:val="20"/>
        </w:rPr>
        <w:t>As at September 2018 the Board had agreed four Memorandum of Understanding covering strategic housing need, employment need, transportation infrastructure and the impacts of growth on Epping Forest SAC</w:t>
      </w:r>
    </w:p>
  </w:footnote>
  <w:footnote w:id="6">
    <w:p w14:paraId="738DB0CC" w14:textId="77777777" w:rsidR="005F5F13" w:rsidRPr="005D35FB" w:rsidRDefault="005F5F13">
      <w:pPr>
        <w:pStyle w:val="FootnoteText"/>
        <w:rPr>
          <w:rFonts w:ascii="Arial" w:hAnsi="Arial" w:cs="Arial"/>
          <w:sz w:val="20"/>
          <w:szCs w:val="20"/>
        </w:rPr>
      </w:pPr>
      <w:r w:rsidRPr="005D35FB">
        <w:rPr>
          <w:rStyle w:val="FootnoteReference"/>
          <w:rFonts w:ascii="Arial" w:hAnsi="Arial" w:cs="Arial"/>
          <w:sz w:val="20"/>
          <w:szCs w:val="20"/>
        </w:rPr>
        <w:footnoteRef/>
      </w:r>
      <w:r w:rsidRPr="005D35FB">
        <w:rPr>
          <w:rFonts w:ascii="Arial" w:hAnsi="Arial" w:cs="Arial"/>
          <w:sz w:val="20"/>
          <w:szCs w:val="20"/>
        </w:rPr>
        <w:t xml:space="preserve"> Councils will identify their lead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B760" w14:textId="4B807B26" w:rsidR="005D35FB" w:rsidRPr="005D35FB" w:rsidRDefault="005D35FB">
    <w:pPr>
      <w:pStyle w:val="Header"/>
      <w:rPr>
        <w:b/>
      </w:rPr>
    </w:pPr>
    <w:r>
      <w:t xml:space="preserve">                                                                                                                                               </w:t>
    </w:r>
    <w:r w:rsidRPr="005D35FB">
      <w:rPr>
        <w:b/>
        <w:sz w:val="44"/>
      </w:rPr>
      <w:t xml:space="preserve">  EB1323A</w:t>
    </w:r>
  </w:p>
  <w:p w14:paraId="300BABF9" w14:textId="0AF3865C" w:rsidR="00623B09" w:rsidRPr="005D35FB" w:rsidRDefault="005D35FB">
    <w:pPr>
      <w:pStyle w:val="Header"/>
      <w:rPr>
        <w:sz w:val="56"/>
      </w:rPr>
    </w:pPr>
    <w:r w:rsidRPr="005D35FB">
      <w:rPr>
        <w:sz w:val="56"/>
      </w:rPr>
      <w:t xml:space="preserve">                                                                                                                                                      </w:t>
    </w:r>
    <w:r>
      <w:rPr>
        <w:sz w:val="56"/>
      </w:rPr>
      <w:t xml:space="preserve">                              </w:t>
    </w:r>
    <w:r w:rsidR="00623B09">
      <w:t>Appendix 1 to report to Co-operation for Sustainable Development Board</w:t>
    </w:r>
    <w:r w:rsidR="00623B09">
      <w:tab/>
      <w:t>10 September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5204"/>
    <w:multiLevelType w:val="multilevel"/>
    <w:tmpl w:val="7A965480"/>
    <w:lvl w:ilvl="0">
      <w:numFmt w:val="bullet"/>
      <w:lvlText w:val="-"/>
      <w:lvlJc w:val="left"/>
      <w:pPr>
        <w:ind w:left="1230" w:hanging="360"/>
      </w:pPr>
      <w:rPr>
        <w:rFonts w:ascii="Calibri" w:eastAsia="Times New Roman" w:hAnsi="Calibri"/>
      </w:rPr>
    </w:lvl>
    <w:lvl w:ilvl="1">
      <w:numFmt w:val="bullet"/>
      <w:lvlText w:val="o"/>
      <w:lvlJc w:val="left"/>
      <w:pPr>
        <w:ind w:left="1950" w:hanging="360"/>
      </w:pPr>
      <w:rPr>
        <w:rFonts w:ascii="Courier New" w:hAnsi="Courier New"/>
      </w:rPr>
    </w:lvl>
    <w:lvl w:ilvl="2">
      <w:numFmt w:val="bullet"/>
      <w:lvlText w:val=""/>
      <w:lvlJc w:val="left"/>
      <w:pPr>
        <w:ind w:left="2670" w:hanging="360"/>
      </w:pPr>
      <w:rPr>
        <w:rFonts w:ascii="Wingdings" w:hAnsi="Wingdings"/>
      </w:rPr>
    </w:lvl>
    <w:lvl w:ilvl="3">
      <w:numFmt w:val="bullet"/>
      <w:lvlText w:val=""/>
      <w:lvlJc w:val="left"/>
      <w:pPr>
        <w:ind w:left="3390" w:hanging="360"/>
      </w:pPr>
      <w:rPr>
        <w:rFonts w:ascii="Symbol" w:hAnsi="Symbol"/>
      </w:rPr>
    </w:lvl>
    <w:lvl w:ilvl="4">
      <w:numFmt w:val="bullet"/>
      <w:lvlText w:val="o"/>
      <w:lvlJc w:val="left"/>
      <w:pPr>
        <w:ind w:left="4110" w:hanging="360"/>
      </w:pPr>
      <w:rPr>
        <w:rFonts w:ascii="Courier New" w:hAnsi="Courier New"/>
      </w:rPr>
    </w:lvl>
    <w:lvl w:ilvl="5">
      <w:numFmt w:val="bullet"/>
      <w:lvlText w:val=""/>
      <w:lvlJc w:val="left"/>
      <w:pPr>
        <w:ind w:left="4830" w:hanging="360"/>
      </w:pPr>
      <w:rPr>
        <w:rFonts w:ascii="Wingdings" w:hAnsi="Wingdings"/>
      </w:rPr>
    </w:lvl>
    <w:lvl w:ilvl="6">
      <w:numFmt w:val="bullet"/>
      <w:lvlText w:val=""/>
      <w:lvlJc w:val="left"/>
      <w:pPr>
        <w:ind w:left="5550" w:hanging="360"/>
      </w:pPr>
      <w:rPr>
        <w:rFonts w:ascii="Symbol" w:hAnsi="Symbol"/>
      </w:rPr>
    </w:lvl>
    <w:lvl w:ilvl="7">
      <w:numFmt w:val="bullet"/>
      <w:lvlText w:val="o"/>
      <w:lvlJc w:val="left"/>
      <w:pPr>
        <w:ind w:left="6270" w:hanging="360"/>
      </w:pPr>
      <w:rPr>
        <w:rFonts w:ascii="Courier New" w:hAnsi="Courier New"/>
      </w:rPr>
    </w:lvl>
    <w:lvl w:ilvl="8">
      <w:numFmt w:val="bullet"/>
      <w:lvlText w:val=""/>
      <w:lvlJc w:val="left"/>
      <w:pPr>
        <w:ind w:left="699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4E"/>
    <w:rsid w:val="0006289E"/>
    <w:rsid w:val="00075D26"/>
    <w:rsid w:val="000A08C6"/>
    <w:rsid w:val="000C43EB"/>
    <w:rsid w:val="001363B7"/>
    <w:rsid w:val="001372AF"/>
    <w:rsid w:val="001D20F7"/>
    <w:rsid w:val="001F5756"/>
    <w:rsid w:val="00225011"/>
    <w:rsid w:val="002610F9"/>
    <w:rsid w:val="002741DB"/>
    <w:rsid w:val="0028764C"/>
    <w:rsid w:val="002B1F9C"/>
    <w:rsid w:val="002E2F67"/>
    <w:rsid w:val="002F1492"/>
    <w:rsid w:val="003030C7"/>
    <w:rsid w:val="00313600"/>
    <w:rsid w:val="00340E33"/>
    <w:rsid w:val="00396ABD"/>
    <w:rsid w:val="003E6D66"/>
    <w:rsid w:val="004074B9"/>
    <w:rsid w:val="00432557"/>
    <w:rsid w:val="0044569B"/>
    <w:rsid w:val="00476A38"/>
    <w:rsid w:val="0048529B"/>
    <w:rsid w:val="004B7BD6"/>
    <w:rsid w:val="004E5C08"/>
    <w:rsid w:val="0054333D"/>
    <w:rsid w:val="0059582F"/>
    <w:rsid w:val="005B454E"/>
    <w:rsid w:val="005C360A"/>
    <w:rsid w:val="005D35FB"/>
    <w:rsid w:val="005F5F13"/>
    <w:rsid w:val="00604758"/>
    <w:rsid w:val="006055BE"/>
    <w:rsid w:val="006066C7"/>
    <w:rsid w:val="00623B09"/>
    <w:rsid w:val="006254B2"/>
    <w:rsid w:val="00637658"/>
    <w:rsid w:val="00645CA9"/>
    <w:rsid w:val="006639EF"/>
    <w:rsid w:val="007120C8"/>
    <w:rsid w:val="007372EA"/>
    <w:rsid w:val="007924DC"/>
    <w:rsid w:val="00861A32"/>
    <w:rsid w:val="00885FB4"/>
    <w:rsid w:val="008B5538"/>
    <w:rsid w:val="008F7ADA"/>
    <w:rsid w:val="00935762"/>
    <w:rsid w:val="009521C8"/>
    <w:rsid w:val="009B0713"/>
    <w:rsid w:val="00A277C4"/>
    <w:rsid w:val="00A44800"/>
    <w:rsid w:val="00B001F4"/>
    <w:rsid w:val="00B0092E"/>
    <w:rsid w:val="00B1013C"/>
    <w:rsid w:val="00B1350C"/>
    <w:rsid w:val="00BD47A3"/>
    <w:rsid w:val="00C13C4D"/>
    <w:rsid w:val="00C50EC2"/>
    <w:rsid w:val="00C6375D"/>
    <w:rsid w:val="00CC56A1"/>
    <w:rsid w:val="00CC6BC5"/>
    <w:rsid w:val="00CF3624"/>
    <w:rsid w:val="00CF585D"/>
    <w:rsid w:val="00D30203"/>
    <w:rsid w:val="00DA7C57"/>
    <w:rsid w:val="00DC361F"/>
    <w:rsid w:val="00DD60DB"/>
    <w:rsid w:val="00DF1979"/>
    <w:rsid w:val="00EC78DA"/>
    <w:rsid w:val="00EE2344"/>
    <w:rsid w:val="00F15BAD"/>
    <w:rsid w:val="00F16347"/>
    <w:rsid w:val="00F45BF3"/>
    <w:rsid w:val="00F9025A"/>
    <w:rsid w:val="00FB763F"/>
    <w:rsid w:val="00FE09DB"/>
    <w:rsid w:val="00FF0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2C1682"/>
  <w15:docId w15:val="{BC418413-1D72-4955-88BF-D4F44E40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B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454E"/>
    <w:pPr>
      <w:spacing w:after="0" w:line="240" w:lineRule="auto"/>
    </w:pPr>
    <w:rPr>
      <w:rFonts w:ascii="Helvetica Neue Light" w:eastAsia="Times New Roman" w:hAnsi="Helvetica Neue Light"/>
      <w:sz w:val="24"/>
      <w:szCs w:val="24"/>
    </w:rPr>
  </w:style>
  <w:style w:type="character" w:customStyle="1" w:styleId="FootnoteTextChar">
    <w:name w:val="Footnote Text Char"/>
    <w:basedOn w:val="DefaultParagraphFont"/>
    <w:link w:val="FootnoteText"/>
    <w:uiPriority w:val="99"/>
    <w:semiHidden/>
    <w:locked/>
    <w:rsid w:val="005B454E"/>
    <w:rPr>
      <w:rFonts w:ascii="Helvetica Neue Light" w:hAnsi="Helvetica Neue Light" w:cs="Times New Roman"/>
      <w:sz w:val="24"/>
      <w:szCs w:val="24"/>
    </w:rPr>
  </w:style>
  <w:style w:type="character" w:styleId="FootnoteReference">
    <w:name w:val="footnote reference"/>
    <w:basedOn w:val="DefaultParagraphFont"/>
    <w:uiPriority w:val="99"/>
    <w:semiHidden/>
    <w:rsid w:val="005B454E"/>
    <w:rPr>
      <w:rFonts w:cs="Times New Roman"/>
      <w:vertAlign w:val="superscript"/>
    </w:rPr>
  </w:style>
  <w:style w:type="paragraph" w:styleId="BalloonText">
    <w:name w:val="Balloon Text"/>
    <w:basedOn w:val="Normal"/>
    <w:link w:val="BalloonTextChar"/>
    <w:uiPriority w:val="99"/>
    <w:semiHidden/>
    <w:rsid w:val="005B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454E"/>
    <w:rPr>
      <w:rFonts w:ascii="Tahoma" w:hAnsi="Tahoma" w:cs="Tahoma"/>
      <w:sz w:val="16"/>
      <w:szCs w:val="16"/>
    </w:rPr>
  </w:style>
  <w:style w:type="paragraph" w:styleId="Header">
    <w:name w:val="header"/>
    <w:basedOn w:val="Normal"/>
    <w:link w:val="HeaderChar"/>
    <w:uiPriority w:val="99"/>
    <w:rsid w:val="000C43E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C43EB"/>
    <w:rPr>
      <w:rFonts w:cs="Times New Roman"/>
    </w:rPr>
  </w:style>
  <w:style w:type="paragraph" w:styleId="Footer">
    <w:name w:val="footer"/>
    <w:basedOn w:val="Normal"/>
    <w:link w:val="FooterChar"/>
    <w:uiPriority w:val="99"/>
    <w:rsid w:val="000C43E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C43EB"/>
    <w:rPr>
      <w:rFonts w:cs="Times New Roman"/>
    </w:rPr>
  </w:style>
  <w:style w:type="character" w:styleId="CommentReference">
    <w:name w:val="annotation reference"/>
    <w:basedOn w:val="DefaultParagraphFont"/>
    <w:uiPriority w:val="99"/>
    <w:semiHidden/>
    <w:rsid w:val="00CF3624"/>
    <w:rPr>
      <w:rFonts w:cs="Times New Roman"/>
      <w:sz w:val="16"/>
      <w:szCs w:val="16"/>
    </w:rPr>
  </w:style>
  <w:style w:type="paragraph" w:styleId="CommentText">
    <w:name w:val="annotation text"/>
    <w:basedOn w:val="Normal"/>
    <w:link w:val="CommentTextChar"/>
    <w:uiPriority w:val="99"/>
    <w:semiHidden/>
    <w:rsid w:val="00CF36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F3624"/>
    <w:rPr>
      <w:rFonts w:cs="Times New Roman"/>
      <w:sz w:val="20"/>
      <w:szCs w:val="20"/>
    </w:rPr>
  </w:style>
  <w:style w:type="paragraph" w:styleId="CommentSubject">
    <w:name w:val="annotation subject"/>
    <w:basedOn w:val="CommentText"/>
    <w:next w:val="CommentText"/>
    <w:link w:val="CommentSubjectChar"/>
    <w:uiPriority w:val="99"/>
    <w:semiHidden/>
    <w:rsid w:val="00CF3624"/>
    <w:rPr>
      <w:b/>
      <w:bCs/>
    </w:rPr>
  </w:style>
  <w:style w:type="character" w:customStyle="1" w:styleId="CommentSubjectChar">
    <w:name w:val="Comment Subject Char"/>
    <w:basedOn w:val="CommentTextChar"/>
    <w:link w:val="CommentSubject"/>
    <w:uiPriority w:val="99"/>
    <w:semiHidden/>
    <w:locked/>
    <w:rsid w:val="00CF3624"/>
    <w:rPr>
      <w:rFonts w:cs="Times New Roman"/>
      <w:b/>
      <w:bCs/>
      <w:sz w:val="20"/>
      <w:szCs w:val="20"/>
    </w:rPr>
  </w:style>
  <w:style w:type="character" w:styleId="Strong">
    <w:name w:val="Strong"/>
    <w:basedOn w:val="DefaultParagraphFont"/>
    <w:uiPriority w:val="99"/>
    <w:qFormat/>
    <w:rsid w:val="00C6375D"/>
    <w:rPr>
      <w:rFonts w:cs="Times New Roman"/>
      <w:b/>
      <w:bCs/>
    </w:rPr>
  </w:style>
  <w:style w:type="paragraph" w:styleId="Revision">
    <w:name w:val="Revision"/>
    <w:hidden/>
    <w:uiPriority w:val="99"/>
    <w:semiHidden/>
    <w:rsid w:val="00623B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06B2-DCF4-4339-9DFE-5442C76B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C7DB1C55</Template>
  <TotalTime>56</TotalTime>
  <Pages>8</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Terms of Reference</vt:lpstr>
    </vt:vector>
  </TitlesOfParts>
  <Company>Uttlesford District Council</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Mole Ember</dc:creator>
  <cp:lastModifiedBy>Bliss O'Dea</cp:lastModifiedBy>
  <cp:revision>4</cp:revision>
  <cp:lastPrinted>2014-10-24T16:42:00Z</cp:lastPrinted>
  <dcterms:created xsi:type="dcterms:W3CDTF">2018-09-05T15:33:00Z</dcterms:created>
  <dcterms:modified xsi:type="dcterms:W3CDTF">2018-11-02T11:21:00Z</dcterms:modified>
</cp:coreProperties>
</file>